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994B" w14:textId="2D434285" w:rsidR="00066C4A" w:rsidRDefault="004C5835" w:rsidP="00066C4A">
      <w:pPr>
        <w:spacing w:line="50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2021</w:t>
      </w:r>
      <w:r w:rsidR="00066C4A" w:rsidRPr="00066C4A">
        <w:rPr>
          <w:rFonts w:ascii="创艺简标宋" w:eastAsia="创艺简标宋" w:hint="eastAsia"/>
          <w:sz w:val="44"/>
          <w:szCs w:val="44"/>
        </w:rPr>
        <w:t>年广东省</w:t>
      </w:r>
      <w:r w:rsidR="00DB25EB">
        <w:rPr>
          <w:rFonts w:ascii="创艺简标宋" w:eastAsia="创艺简标宋" w:hint="eastAsia"/>
          <w:sz w:val="44"/>
          <w:szCs w:val="44"/>
        </w:rPr>
        <w:t>临床用药</w:t>
      </w:r>
      <w:r w:rsidR="00066C4A" w:rsidRPr="00066C4A">
        <w:rPr>
          <w:rFonts w:ascii="创艺简标宋" w:eastAsia="创艺简标宋" w:hint="eastAsia"/>
          <w:sz w:val="44"/>
          <w:szCs w:val="44"/>
        </w:rPr>
        <w:t>研究基金</w:t>
      </w:r>
    </w:p>
    <w:p w14:paraId="28E4A498" w14:textId="704A4695" w:rsidR="00066C4A" w:rsidRPr="00066C4A" w:rsidRDefault="00066C4A" w:rsidP="00DB25EB">
      <w:pPr>
        <w:spacing w:line="500" w:lineRule="exact"/>
        <w:jc w:val="center"/>
        <w:rPr>
          <w:rFonts w:ascii="创艺简标宋" w:eastAsia="创艺简标宋"/>
          <w:sz w:val="44"/>
          <w:szCs w:val="44"/>
        </w:rPr>
      </w:pPr>
      <w:r w:rsidRPr="00066C4A">
        <w:rPr>
          <w:rFonts w:ascii="创艺简标宋" w:eastAsia="创艺简标宋" w:hint="eastAsia"/>
          <w:sz w:val="44"/>
          <w:szCs w:val="44"/>
        </w:rPr>
        <w:t>（</w:t>
      </w:r>
      <w:r w:rsidR="0066297F" w:rsidRPr="0066297F">
        <w:rPr>
          <w:rFonts w:ascii="创艺简标宋" w:eastAsia="创艺简标宋" w:hint="eastAsia"/>
          <w:sz w:val="44"/>
          <w:szCs w:val="44"/>
        </w:rPr>
        <w:t>外科药学骨科镇痛专项</w:t>
      </w:r>
      <w:r w:rsidR="00DB25EB">
        <w:rPr>
          <w:rFonts w:ascii="创艺简标宋" w:eastAsia="创艺简标宋" w:hint="eastAsia"/>
          <w:sz w:val="44"/>
          <w:szCs w:val="44"/>
        </w:rPr>
        <w:t>基金）</w:t>
      </w:r>
      <w:r w:rsidRPr="00066C4A">
        <w:rPr>
          <w:rFonts w:ascii="创艺简标宋" w:eastAsia="创艺简标宋" w:hint="eastAsia"/>
          <w:sz w:val="44"/>
          <w:szCs w:val="44"/>
        </w:rPr>
        <w:t>工作方案</w:t>
      </w:r>
    </w:p>
    <w:p w14:paraId="668B2698" w14:textId="77777777" w:rsidR="008233D2" w:rsidRPr="002B0F01" w:rsidRDefault="008233D2" w:rsidP="003973CA">
      <w:pPr>
        <w:spacing w:line="312" w:lineRule="auto"/>
        <w:jc w:val="left"/>
        <w:rPr>
          <w:rFonts w:ascii="仿宋_GB2312" w:eastAsia="仿宋_GB2312" w:hAnsi="宋体"/>
          <w:snapToGrid w:val="0"/>
        </w:rPr>
      </w:pPr>
    </w:p>
    <w:p w14:paraId="03548B16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b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1.  宗旨</w:t>
      </w:r>
    </w:p>
    <w:p w14:paraId="5D6873C0" w14:textId="1E528687" w:rsidR="008233D2" w:rsidRPr="0081360B" w:rsidRDefault="0066297F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外科药学骨科镇痛专项</w:t>
      </w:r>
      <w:r w:rsidR="00066C4A" w:rsidRPr="0081360B">
        <w:rPr>
          <w:rFonts w:ascii="仿宋" w:eastAsia="仿宋" w:hAnsi="仿宋" w:hint="eastAsia"/>
          <w:snapToGrid w:val="0"/>
          <w:sz w:val="28"/>
          <w:szCs w:val="28"/>
        </w:rPr>
        <w:t>基金</w:t>
      </w:r>
      <w:r w:rsidR="001E78FA" w:rsidRPr="0081360B">
        <w:rPr>
          <w:rFonts w:ascii="仿宋" w:eastAsia="仿宋" w:hAnsi="仿宋" w:hint="eastAsia"/>
          <w:snapToGrid w:val="0"/>
          <w:sz w:val="28"/>
          <w:szCs w:val="28"/>
        </w:rPr>
        <w:t>的宗旨为：</w:t>
      </w:r>
      <w:r w:rsidR="00066C4A" w:rsidRPr="0081360B">
        <w:rPr>
          <w:rFonts w:ascii="仿宋" w:eastAsia="仿宋" w:hAnsi="仿宋" w:hint="eastAsia"/>
          <w:snapToGrid w:val="0"/>
          <w:sz w:val="28"/>
          <w:szCs w:val="28"/>
        </w:rPr>
        <w:t>推动广东省医院药学及相关领域科研及临床的发展，</w:t>
      </w:r>
      <w:r w:rsidR="001E78FA" w:rsidRPr="0081360B">
        <w:rPr>
          <w:rFonts w:ascii="仿宋" w:eastAsia="仿宋" w:hAnsi="仿宋" w:hint="eastAsia"/>
          <w:snapToGrid w:val="0"/>
          <w:sz w:val="28"/>
          <w:szCs w:val="28"/>
        </w:rPr>
        <w:t>为广大</w:t>
      </w:r>
      <w:r w:rsidR="00135996" w:rsidRPr="0081360B">
        <w:rPr>
          <w:rFonts w:ascii="仿宋" w:eastAsia="仿宋" w:hAnsi="仿宋" w:hint="eastAsia"/>
          <w:snapToGrid w:val="0"/>
          <w:sz w:val="28"/>
          <w:szCs w:val="28"/>
        </w:rPr>
        <w:t>医院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医生和</w:t>
      </w:r>
      <w:r w:rsidR="001E78FA" w:rsidRPr="0081360B">
        <w:rPr>
          <w:rFonts w:ascii="仿宋" w:eastAsia="仿宋" w:hAnsi="仿宋" w:hint="eastAsia"/>
          <w:snapToGrid w:val="0"/>
          <w:sz w:val="28"/>
          <w:szCs w:val="28"/>
        </w:rPr>
        <w:t>药师创造学术交流及科研机会，提高</w:t>
      </w:r>
      <w:r w:rsidR="00066C4A" w:rsidRPr="0081360B">
        <w:rPr>
          <w:rFonts w:ascii="仿宋" w:eastAsia="仿宋" w:hAnsi="仿宋" w:hint="eastAsia"/>
          <w:snapToGrid w:val="0"/>
          <w:sz w:val="28"/>
          <w:szCs w:val="28"/>
        </w:rPr>
        <w:t>广东省医院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科研</w:t>
      </w:r>
      <w:r w:rsidR="001E78FA" w:rsidRPr="0081360B">
        <w:rPr>
          <w:rFonts w:ascii="仿宋" w:eastAsia="仿宋" w:hAnsi="仿宋" w:hint="eastAsia"/>
          <w:snapToGrid w:val="0"/>
          <w:sz w:val="28"/>
          <w:szCs w:val="28"/>
        </w:rPr>
        <w:t>建设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。</w:t>
      </w:r>
    </w:p>
    <w:p w14:paraId="0B2D85C4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</w:p>
    <w:p w14:paraId="6C7161BA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b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2.  委员会组成</w:t>
      </w:r>
    </w:p>
    <w:p w14:paraId="54BF1F3F" w14:textId="05385E0A" w:rsidR="008233D2" w:rsidRPr="0081360B" w:rsidRDefault="0066297F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外科药学骨科镇痛专项</w:t>
      </w:r>
      <w:r w:rsidR="00066C4A" w:rsidRPr="0081360B">
        <w:rPr>
          <w:rFonts w:ascii="仿宋" w:eastAsia="仿宋" w:hAnsi="仿宋" w:hint="eastAsia"/>
          <w:snapToGrid w:val="0"/>
          <w:sz w:val="28"/>
          <w:szCs w:val="28"/>
        </w:rPr>
        <w:t>基金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评审委员会（以下简称“评委会”）由广东省药学会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相关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专业委员会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成员及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三甲医院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临床或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药</w:t>
      </w:r>
      <w:r w:rsidR="00E769F1" w:rsidRPr="0081360B">
        <w:rPr>
          <w:rFonts w:ascii="仿宋" w:eastAsia="仿宋" w:hAnsi="仿宋" w:hint="eastAsia"/>
          <w:snapToGrid w:val="0"/>
          <w:sz w:val="28"/>
          <w:szCs w:val="28"/>
        </w:rPr>
        <w:t>学专家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等具有</w:t>
      </w:r>
      <w:r w:rsidR="00E44B4C" w:rsidRPr="0081360B">
        <w:rPr>
          <w:rFonts w:ascii="仿宋" w:eastAsia="仿宋" w:hAnsi="仿宋" w:hint="eastAsia"/>
          <w:snapToGrid w:val="0"/>
          <w:sz w:val="28"/>
          <w:szCs w:val="28"/>
        </w:rPr>
        <w:t>高级技术</w:t>
      </w:r>
      <w:r w:rsidR="008233D2" w:rsidRPr="0081360B">
        <w:rPr>
          <w:rFonts w:ascii="仿宋" w:eastAsia="仿宋" w:hAnsi="仿宋" w:hint="eastAsia"/>
          <w:snapToGrid w:val="0"/>
          <w:sz w:val="28"/>
          <w:szCs w:val="28"/>
        </w:rPr>
        <w:t>职称的人员组成。</w:t>
      </w:r>
    </w:p>
    <w:p w14:paraId="431E8555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</w:p>
    <w:p w14:paraId="04EDF8BB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b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3．</w:t>
      </w:r>
      <w:r w:rsidR="007864E9" w:rsidRPr="0081360B">
        <w:rPr>
          <w:rFonts w:ascii="仿宋" w:eastAsia="仿宋" w:hAnsi="仿宋" w:hint="eastAsia"/>
          <w:b/>
          <w:snapToGrid w:val="0"/>
          <w:sz w:val="28"/>
          <w:szCs w:val="28"/>
        </w:rPr>
        <w:t>基金申报</w:t>
      </w: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运行流程</w:t>
      </w:r>
    </w:p>
    <w:p w14:paraId="386BD229" w14:textId="071EBC8A" w:rsidR="00035113" w:rsidRPr="0081360B" w:rsidRDefault="008233D2" w:rsidP="00CA77E7">
      <w:pPr>
        <w:spacing w:line="500" w:lineRule="exact"/>
        <w:rPr>
          <w:rFonts w:ascii="仿宋" w:eastAsia="仿宋" w:hAnsi="仿宋"/>
          <w:snapToGrid w:val="0"/>
          <w:color w:val="FF000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3.1  项目方向：</w:t>
      </w:r>
      <w:r w:rsidR="0066297F" w:rsidRPr="0081360B">
        <w:rPr>
          <w:rFonts w:ascii="仿宋" w:eastAsia="仿宋" w:hAnsi="仿宋" w:hint="eastAsia"/>
          <w:snapToGrid w:val="0"/>
          <w:sz w:val="28"/>
          <w:szCs w:val="28"/>
        </w:rPr>
        <w:t>骨科</w:t>
      </w:r>
      <w:proofErr w:type="gramStart"/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围手术</w:t>
      </w:r>
      <w:r w:rsidR="003363A8" w:rsidRPr="0081360B">
        <w:rPr>
          <w:rFonts w:ascii="仿宋" w:eastAsia="仿宋" w:hAnsi="仿宋" w:hint="eastAsia"/>
          <w:snapToGrid w:val="0"/>
          <w:sz w:val="28"/>
          <w:szCs w:val="28"/>
        </w:rPr>
        <w:t>期</w:t>
      </w:r>
      <w:proofErr w:type="gramEnd"/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医学、</w:t>
      </w:r>
      <w:r w:rsidR="00ED2815" w:rsidRPr="0081360B">
        <w:rPr>
          <w:rFonts w:ascii="仿宋" w:eastAsia="仿宋" w:hAnsi="仿宋" w:hint="eastAsia"/>
          <w:snapToGrid w:val="0"/>
          <w:sz w:val="28"/>
          <w:szCs w:val="28"/>
        </w:rPr>
        <w:t>药学</w:t>
      </w:r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及其他</w:t>
      </w:r>
      <w:r w:rsidR="0066297F" w:rsidRPr="0081360B">
        <w:rPr>
          <w:rFonts w:ascii="仿宋" w:eastAsia="仿宋" w:hAnsi="仿宋" w:hint="eastAsia"/>
          <w:snapToGrid w:val="0"/>
          <w:sz w:val="28"/>
          <w:szCs w:val="28"/>
        </w:rPr>
        <w:t>骨科镇痛</w:t>
      </w:r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相关专科</w:t>
      </w:r>
      <w:r w:rsidR="00ED2815" w:rsidRPr="0081360B">
        <w:rPr>
          <w:rFonts w:ascii="仿宋" w:eastAsia="仿宋" w:hAnsi="仿宋" w:hint="eastAsia"/>
          <w:snapToGrid w:val="0"/>
          <w:sz w:val="28"/>
          <w:szCs w:val="28"/>
        </w:rPr>
        <w:t>诊治方向。</w:t>
      </w:r>
    </w:p>
    <w:p w14:paraId="1B6A3987" w14:textId="364B20AC" w:rsidR="008233D2" w:rsidRPr="0081360B" w:rsidRDefault="008233D2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3.2  项目：</w:t>
      </w:r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设立重大</w:t>
      </w:r>
      <w:r w:rsidR="008B76DD" w:rsidRPr="0081360B">
        <w:rPr>
          <w:rFonts w:ascii="仿宋" w:eastAsia="仿宋" w:hAnsi="仿宋" w:hint="eastAsia"/>
          <w:snapToGrid w:val="0"/>
          <w:sz w:val="28"/>
          <w:szCs w:val="28"/>
        </w:rPr>
        <w:t>科研</w:t>
      </w:r>
      <w:r w:rsidR="001A010B" w:rsidRPr="0081360B">
        <w:rPr>
          <w:rFonts w:ascii="仿宋" w:eastAsia="仿宋" w:hAnsi="仿宋" w:hint="eastAsia"/>
          <w:snapToGrid w:val="0"/>
          <w:sz w:val="28"/>
          <w:szCs w:val="28"/>
        </w:rPr>
        <w:t>项目</w:t>
      </w:r>
      <w:r w:rsidR="008B76DD" w:rsidRPr="0081360B">
        <w:rPr>
          <w:rFonts w:ascii="仿宋" w:eastAsia="仿宋" w:hAnsi="仿宋" w:hint="eastAsia"/>
          <w:snapToGrid w:val="0"/>
          <w:sz w:val="28"/>
          <w:szCs w:val="28"/>
        </w:rPr>
        <w:t>3项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（</w:t>
      </w:r>
      <w:r w:rsidR="00E36416">
        <w:rPr>
          <w:rFonts w:ascii="仿宋" w:eastAsia="仿宋" w:hAnsi="仿宋" w:hint="eastAsia"/>
          <w:snapToGrid w:val="0"/>
          <w:sz w:val="28"/>
          <w:szCs w:val="28"/>
        </w:rPr>
        <w:t>8.4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万元/项）</w:t>
      </w:r>
      <w:r w:rsidR="008B76DD" w:rsidRPr="0081360B">
        <w:rPr>
          <w:rFonts w:ascii="仿宋" w:eastAsia="仿宋" w:hAnsi="仿宋" w:hint="eastAsia"/>
          <w:snapToGrid w:val="0"/>
          <w:sz w:val="28"/>
          <w:szCs w:val="28"/>
        </w:rPr>
        <w:t>、重点科研项目6项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（</w:t>
      </w:r>
      <w:r w:rsidR="00E36416">
        <w:rPr>
          <w:rFonts w:ascii="仿宋" w:eastAsia="仿宋" w:hAnsi="仿宋" w:hint="eastAsia"/>
          <w:snapToGrid w:val="0"/>
          <w:sz w:val="28"/>
          <w:szCs w:val="28"/>
        </w:rPr>
        <w:t>4.2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万元/项）</w:t>
      </w:r>
      <w:r w:rsidR="008B76DD" w:rsidRPr="0081360B">
        <w:rPr>
          <w:rFonts w:ascii="仿宋" w:eastAsia="仿宋" w:hAnsi="仿宋" w:hint="eastAsia"/>
          <w:snapToGrid w:val="0"/>
          <w:sz w:val="28"/>
          <w:szCs w:val="28"/>
        </w:rPr>
        <w:t>、重要科研项目10项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（</w:t>
      </w:r>
      <w:r w:rsidR="00E36416">
        <w:rPr>
          <w:rFonts w:ascii="仿宋" w:eastAsia="仿宋" w:hAnsi="仿宋" w:hint="eastAsia"/>
          <w:snapToGrid w:val="0"/>
          <w:sz w:val="28"/>
          <w:szCs w:val="28"/>
        </w:rPr>
        <w:t>2.52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万元/项）</w:t>
      </w:r>
      <w:r w:rsidR="008B76DD" w:rsidRPr="0081360B">
        <w:rPr>
          <w:rFonts w:ascii="仿宋" w:eastAsia="仿宋" w:hAnsi="仿宋" w:hint="eastAsia"/>
          <w:snapToGrid w:val="0"/>
          <w:sz w:val="28"/>
          <w:szCs w:val="28"/>
        </w:rPr>
        <w:t>、探索性项目10项</w:t>
      </w:r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（</w:t>
      </w:r>
      <w:r w:rsidR="00E36416">
        <w:rPr>
          <w:rFonts w:ascii="仿宋" w:eastAsia="仿宋" w:hAnsi="仿宋" w:hint="eastAsia"/>
          <w:snapToGrid w:val="0"/>
          <w:sz w:val="28"/>
          <w:szCs w:val="28"/>
        </w:rPr>
        <w:t>0.84</w:t>
      </w:r>
      <w:bookmarkStart w:id="0" w:name="_GoBack"/>
      <w:bookmarkEnd w:id="0"/>
      <w:r w:rsidR="00563B73" w:rsidRPr="0081360B">
        <w:rPr>
          <w:rFonts w:ascii="仿宋" w:eastAsia="仿宋" w:hAnsi="仿宋" w:hint="eastAsia"/>
          <w:snapToGrid w:val="0"/>
          <w:sz w:val="28"/>
          <w:szCs w:val="28"/>
        </w:rPr>
        <w:t>万元/项）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；</w:t>
      </w:r>
      <w:r w:rsidR="0016233E" w:rsidRPr="0081360B">
        <w:rPr>
          <w:rFonts w:ascii="仿宋" w:eastAsia="仿宋" w:hAnsi="仿宋" w:hint="eastAsia"/>
          <w:snapToGrid w:val="0"/>
          <w:sz w:val="28"/>
          <w:szCs w:val="28"/>
        </w:rPr>
        <w:t>为实现“强基层”的</w:t>
      </w:r>
      <w:proofErr w:type="gramStart"/>
      <w:r w:rsidR="0016233E" w:rsidRPr="0081360B">
        <w:rPr>
          <w:rFonts w:ascii="仿宋" w:eastAsia="仿宋" w:hAnsi="仿宋" w:hint="eastAsia"/>
          <w:snapToGrid w:val="0"/>
          <w:sz w:val="28"/>
          <w:szCs w:val="28"/>
        </w:rPr>
        <w:t>医</w:t>
      </w:r>
      <w:proofErr w:type="gramEnd"/>
      <w:r w:rsidR="0016233E" w:rsidRPr="0081360B">
        <w:rPr>
          <w:rFonts w:ascii="仿宋" w:eastAsia="仿宋" w:hAnsi="仿宋" w:hint="eastAsia"/>
          <w:snapToGrid w:val="0"/>
          <w:sz w:val="28"/>
          <w:szCs w:val="28"/>
        </w:rPr>
        <w:t>改目标，鼓励基层医疗单位参与科研建设，重要科研项目及探索性项目各为基层医院（二级医院）保留4项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入围中标，其他项目不做要求。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所有项目的资助周期为1年</w:t>
      </w:r>
      <w:r w:rsidR="00291FF8" w:rsidRPr="0081360B">
        <w:rPr>
          <w:rFonts w:ascii="仿宋" w:eastAsia="仿宋" w:hAnsi="仿宋" w:hint="eastAsia"/>
          <w:snapToGrid w:val="0"/>
          <w:sz w:val="28"/>
          <w:szCs w:val="28"/>
        </w:rPr>
        <w:t>，如确需要可延期1年，但需提交延期报告，格式参照结题报告书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。</w:t>
      </w:r>
    </w:p>
    <w:p w14:paraId="552DA039" w14:textId="77777777" w:rsidR="003400A5" w:rsidRPr="0081360B" w:rsidRDefault="008233D2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3.3  具体流程：药学会</w:t>
      </w:r>
      <w:proofErr w:type="gramStart"/>
      <w:r w:rsidRPr="0081360B">
        <w:rPr>
          <w:rFonts w:ascii="仿宋" w:eastAsia="仿宋" w:hAnsi="仿宋" w:hint="eastAsia"/>
          <w:snapToGrid w:val="0"/>
          <w:sz w:val="28"/>
          <w:szCs w:val="28"/>
        </w:rPr>
        <w:t>发项目</w:t>
      </w:r>
      <w:proofErr w:type="gramEnd"/>
      <w:r w:rsidRPr="0081360B">
        <w:rPr>
          <w:rFonts w:ascii="仿宋" w:eastAsia="仿宋" w:hAnsi="仿宋" w:hint="eastAsia"/>
          <w:snapToGrid w:val="0"/>
          <w:sz w:val="28"/>
          <w:szCs w:val="28"/>
        </w:rPr>
        <w:t>申报通知到各医院→医院向药学会提供科研方案→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药学会会同学科领头专家进行形式审查→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评委会评审方案的合理性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、创新性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，选出立项项目</w:t>
      </w:r>
      <w:r w:rsidR="005E4038" w:rsidRPr="0081360B">
        <w:rPr>
          <w:rFonts w:ascii="仿宋" w:eastAsia="仿宋" w:hAnsi="仿宋" w:hint="eastAsia"/>
          <w:snapToGrid w:val="0"/>
          <w:sz w:val="28"/>
          <w:szCs w:val="28"/>
        </w:rPr>
        <w:t>→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立项单位签订立项合同书→药学会将经费转入立项单位→项目研究→向药学会交结题报告→评审→通过评审的结题报告由药学会备案。</w:t>
      </w:r>
    </w:p>
    <w:p w14:paraId="52687CAE" w14:textId="77777777" w:rsidR="005F05A5" w:rsidRPr="0081360B" w:rsidRDefault="008233D2" w:rsidP="00CA77E7">
      <w:pPr>
        <w:widowControl/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3.4  项目申请：广东省行政区内二</w:t>
      </w:r>
      <w:r w:rsidR="00D164CC" w:rsidRPr="0081360B">
        <w:rPr>
          <w:rFonts w:ascii="仿宋" w:eastAsia="仿宋" w:hAnsi="仿宋" w:hint="eastAsia"/>
          <w:snapToGrid w:val="0"/>
          <w:sz w:val="28"/>
          <w:szCs w:val="28"/>
        </w:rPr>
        <w:t>级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以上医院</w:t>
      </w:r>
      <w:r w:rsidR="005D0D20" w:rsidRPr="0081360B">
        <w:rPr>
          <w:rFonts w:ascii="仿宋" w:eastAsia="仿宋" w:hAnsi="仿宋" w:hint="eastAsia"/>
          <w:snapToGrid w:val="0"/>
          <w:sz w:val="28"/>
          <w:szCs w:val="28"/>
        </w:rPr>
        <w:t>医学</w:t>
      </w:r>
      <w:r w:rsidR="00ED2815" w:rsidRPr="0081360B">
        <w:rPr>
          <w:rFonts w:ascii="仿宋" w:eastAsia="仿宋" w:hAnsi="仿宋" w:hint="eastAsia"/>
          <w:snapToGrid w:val="0"/>
          <w:sz w:val="28"/>
          <w:szCs w:val="28"/>
        </w:rPr>
        <w:t>或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药学人员可向广东省药学会提出项目申请（每家医院</w:t>
      </w:r>
      <w:r w:rsidR="005E1468" w:rsidRPr="0081360B">
        <w:rPr>
          <w:rFonts w:ascii="仿宋" w:eastAsia="仿宋" w:hAnsi="仿宋" w:hint="eastAsia"/>
          <w:snapToGrid w:val="0"/>
          <w:sz w:val="28"/>
          <w:szCs w:val="28"/>
        </w:rPr>
        <w:t>申报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项目</w:t>
      </w:r>
      <w:r w:rsidR="005E1468" w:rsidRPr="0081360B">
        <w:rPr>
          <w:rFonts w:ascii="仿宋" w:eastAsia="仿宋" w:hAnsi="仿宋" w:hint="eastAsia"/>
          <w:snapToGrid w:val="0"/>
          <w:sz w:val="28"/>
          <w:szCs w:val="28"/>
        </w:rPr>
        <w:t>不限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）</w:t>
      </w:r>
      <w:r w:rsidR="005E1468" w:rsidRPr="0081360B">
        <w:rPr>
          <w:rFonts w:ascii="仿宋" w:eastAsia="仿宋" w:hAnsi="仿宋" w:hint="eastAsia"/>
          <w:snapToGrid w:val="0"/>
          <w:sz w:val="28"/>
          <w:szCs w:val="28"/>
        </w:rPr>
        <w:t>。</w:t>
      </w:r>
      <w:r w:rsidR="00C10BD6" w:rsidRPr="0081360B">
        <w:rPr>
          <w:rFonts w:ascii="仿宋" w:eastAsia="仿宋" w:hAnsi="仿宋" w:hint="eastAsia"/>
          <w:snapToGrid w:val="0"/>
          <w:sz w:val="28"/>
          <w:szCs w:val="28"/>
        </w:rPr>
        <w:t>提交指定项目申请书，申请书须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经申请者单位同意并签盖公章。评委会评选出</w:t>
      </w:r>
      <w:r w:rsidR="00D246C9" w:rsidRPr="0081360B">
        <w:rPr>
          <w:rFonts w:ascii="仿宋" w:eastAsia="仿宋" w:hAnsi="仿宋" w:hint="eastAsia"/>
          <w:snapToGrid w:val="0"/>
          <w:sz w:val="28"/>
          <w:szCs w:val="28"/>
        </w:rPr>
        <w:t>立项</w:t>
      </w:r>
      <w:r w:rsidR="005E4038" w:rsidRPr="0081360B">
        <w:rPr>
          <w:rFonts w:ascii="仿宋" w:eastAsia="仿宋" w:hAnsi="仿宋" w:hint="eastAsia"/>
          <w:snapToGrid w:val="0"/>
          <w:sz w:val="28"/>
          <w:szCs w:val="28"/>
        </w:rPr>
        <w:t>项目并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确定资助金额，立项单位</w:t>
      </w:r>
      <w:r w:rsidR="00D164CC" w:rsidRPr="0081360B">
        <w:rPr>
          <w:rFonts w:ascii="仿宋" w:eastAsia="仿宋" w:hAnsi="仿宋" w:hint="eastAsia"/>
          <w:snapToGrid w:val="0"/>
          <w:sz w:val="28"/>
          <w:szCs w:val="28"/>
        </w:rPr>
        <w:t>须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与</w:t>
      </w:r>
      <w:r w:rsidR="00467F57" w:rsidRPr="0081360B">
        <w:rPr>
          <w:rFonts w:ascii="仿宋" w:eastAsia="仿宋" w:hAnsi="仿宋" w:hint="eastAsia"/>
          <w:snapToGrid w:val="0"/>
          <w:sz w:val="28"/>
          <w:szCs w:val="28"/>
        </w:rPr>
        <w:t>本会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签订</w:t>
      </w:r>
      <w:r w:rsidR="005C3613" w:rsidRPr="0081360B">
        <w:rPr>
          <w:rFonts w:ascii="仿宋" w:eastAsia="仿宋" w:hAnsi="仿宋" w:hint="eastAsia"/>
          <w:snapToGrid w:val="0"/>
          <w:sz w:val="28"/>
          <w:szCs w:val="28"/>
        </w:rPr>
        <w:t>立项合同书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。</w:t>
      </w:r>
    </w:p>
    <w:p w14:paraId="0D83EE1D" w14:textId="77777777" w:rsidR="008233D2" w:rsidRPr="0081360B" w:rsidRDefault="008233D2" w:rsidP="00CA77E7">
      <w:pPr>
        <w:spacing w:line="500" w:lineRule="exact"/>
        <w:rPr>
          <w:rFonts w:ascii="仿宋" w:eastAsia="仿宋" w:hAnsi="仿宋"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lastRenderedPageBreak/>
        <w:t xml:space="preserve">3.5  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科研经费：项目通过评审</w:t>
      </w:r>
      <w:r w:rsidR="007864E9" w:rsidRPr="0081360B">
        <w:rPr>
          <w:rFonts w:ascii="仿宋" w:eastAsia="仿宋" w:hAnsi="仿宋" w:hint="eastAsia"/>
          <w:snapToGrid w:val="0"/>
          <w:sz w:val="28"/>
          <w:szCs w:val="28"/>
        </w:rPr>
        <w:t>，</w:t>
      </w:r>
      <w:r w:rsidR="003400A5" w:rsidRPr="0081360B">
        <w:rPr>
          <w:rFonts w:ascii="仿宋" w:eastAsia="仿宋" w:hAnsi="仿宋" w:hint="eastAsia"/>
          <w:snapToGrid w:val="0"/>
          <w:sz w:val="28"/>
          <w:szCs w:val="28"/>
        </w:rPr>
        <w:t>且在所在医院的临床试验机构立项并通过伦理审查后，</w:t>
      </w:r>
      <w:r w:rsidR="007864E9" w:rsidRPr="0081360B">
        <w:rPr>
          <w:rFonts w:ascii="仿宋" w:eastAsia="仿宋" w:hAnsi="仿宋" w:hint="eastAsia"/>
          <w:snapToGrid w:val="0"/>
          <w:sz w:val="28"/>
          <w:szCs w:val="28"/>
        </w:rPr>
        <w:t>广东省药学会将项目经费转入立项单位。</w:t>
      </w:r>
      <w:r w:rsidR="007864E9" w:rsidRPr="0081360B">
        <w:rPr>
          <w:rFonts w:ascii="仿宋" w:eastAsia="仿宋" w:hAnsi="仿宋" w:hint="eastAsia"/>
          <w:b/>
          <w:snapToGrid w:val="0"/>
          <w:sz w:val="28"/>
          <w:szCs w:val="28"/>
        </w:rPr>
        <w:t>根据国家财务审计政策，立项单位在收取科研基金时必须</w:t>
      </w:r>
      <w:proofErr w:type="gramStart"/>
      <w:r w:rsidR="007864E9" w:rsidRPr="0081360B">
        <w:rPr>
          <w:rFonts w:ascii="仿宋" w:eastAsia="仿宋" w:hAnsi="仿宋" w:hint="eastAsia"/>
          <w:b/>
          <w:snapToGrid w:val="0"/>
          <w:sz w:val="28"/>
          <w:szCs w:val="28"/>
        </w:rPr>
        <w:t>提供省</w:t>
      </w:r>
      <w:proofErr w:type="gramEnd"/>
      <w:r w:rsidR="007864E9" w:rsidRPr="0081360B">
        <w:rPr>
          <w:rFonts w:ascii="仿宋" w:eastAsia="仿宋" w:hAnsi="仿宋" w:hint="eastAsia"/>
          <w:b/>
          <w:snapToGrid w:val="0"/>
          <w:sz w:val="28"/>
          <w:szCs w:val="28"/>
        </w:rPr>
        <w:t>财政厅“行政事业单位资金往来结算票据”或税务发票。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由立项单位监督管理经费的使用，保证专款专用。</w:t>
      </w:r>
    </w:p>
    <w:p w14:paraId="19528C47" w14:textId="59ADDA88" w:rsidR="003973CA" w:rsidRPr="0081360B" w:rsidRDefault="008233D2" w:rsidP="00CA77E7">
      <w:pPr>
        <w:spacing w:line="500" w:lineRule="exact"/>
        <w:rPr>
          <w:rFonts w:ascii="仿宋" w:eastAsia="仿宋" w:hAnsi="仿宋"/>
          <w:b/>
          <w:snapToGrid w:val="0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3.6  结题：项目研究期间，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所有项目均须在《今日药学》</w:t>
      </w:r>
      <w:r w:rsidR="00A226EF" w:rsidRPr="0081360B">
        <w:rPr>
          <w:rFonts w:ascii="仿宋" w:eastAsia="仿宋" w:hAnsi="仿宋" w:hint="eastAsia"/>
          <w:snapToGrid w:val="0"/>
          <w:sz w:val="28"/>
          <w:szCs w:val="28"/>
        </w:rPr>
        <w:t>的“外科药学”专栏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发表文章1篇（论著、综述均可），</w:t>
      </w:r>
      <w:r w:rsidR="007112C7" w:rsidRPr="0081360B">
        <w:rPr>
          <w:rFonts w:ascii="仿宋" w:eastAsia="仿宋" w:hAnsi="仿宋" w:hint="eastAsia"/>
          <w:snapToGrid w:val="0"/>
          <w:sz w:val="28"/>
          <w:szCs w:val="28"/>
        </w:rPr>
        <w:t>重大与重点项目须至少在SCI或北大中文核心期刊发表论文</w:t>
      </w:r>
      <w:r w:rsidR="00806201" w:rsidRPr="0081360B">
        <w:rPr>
          <w:rFonts w:ascii="仿宋" w:eastAsia="仿宋" w:hAnsi="仿宋" w:hint="eastAsia"/>
          <w:snapToGrid w:val="0"/>
          <w:sz w:val="28"/>
          <w:szCs w:val="28"/>
        </w:rPr>
        <w:t>1</w:t>
      </w:r>
      <w:r w:rsidR="007112C7" w:rsidRPr="0081360B">
        <w:rPr>
          <w:rFonts w:ascii="仿宋" w:eastAsia="仿宋" w:hAnsi="仿宋" w:hint="eastAsia"/>
          <w:snapToGrid w:val="0"/>
          <w:sz w:val="28"/>
          <w:szCs w:val="28"/>
        </w:rPr>
        <w:t>篇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，</w:t>
      </w:r>
      <w:r w:rsidR="00FC661C" w:rsidRPr="0081360B">
        <w:rPr>
          <w:rFonts w:ascii="仿宋" w:eastAsia="仿宋" w:hAnsi="仿宋" w:hint="eastAsia"/>
          <w:snapToGrid w:val="0"/>
          <w:sz w:val="28"/>
          <w:szCs w:val="28"/>
        </w:rPr>
        <w:t>均</w:t>
      </w:r>
      <w:r w:rsidR="00575139" w:rsidRPr="0081360B">
        <w:rPr>
          <w:rFonts w:ascii="仿宋" w:eastAsia="仿宋" w:hAnsi="仿宋" w:hint="eastAsia"/>
          <w:snapToGrid w:val="0"/>
          <w:sz w:val="28"/>
          <w:szCs w:val="28"/>
        </w:rPr>
        <w:t>以录用通知为准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。项目完成后，立项单位应向评委会提交项目结题报告</w:t>
      </w:r>
      <w:r w:rsidR="00C10BD6" w:rsidRPr="0081360B">
        <w:rPr>
          <w:rFonts w:ascii="仿宋" w:eastAsia="仿宋" w:hAnsi="仿宋" w:hint="eastAsia"/>
          <w:snapToGrid w:val="0"/>
          <w:sz w:val="28"/>
          <w:szCs w:val="28"/>
        </w:rPr>
        <w:t>与单位财务部门出具的经费使用清单</w:t>
      </w:r>
      <w:r w:rsidRPr="0081360B">
        <w:rPr>
          <w:rFonts w:ascii="仿宋" w:eastAsia="仿宋" w:hAnsi="仿宋" w:hint="eastAsia"/>
          <w:snapToGrid w:val="0"/>
          <w:sz w:val="28"/>
          <w:szCs w:val="28"/>
        </w:rPr>
        <w:t>，由评委会负责评审。评审通过后的项目结题报告应分别交赞助单位及药学会备案。</w:t>
      </w: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凡未提交项目结题报告或其内容不真实的，</w:t>
      </w:r>
      <w:r w:rsidR="00CA77E7" w:rsidRPr="0081360B">
        <w:rPr>
          <w:rFonts w:ascii="仿宋" w:eastAsia="仿宋" w:hAnsi="仿宋" w:hint="eastAsia"/>
          <w:b/>
          <w:snapToGrid w:val="0"/>
          <w:sz w:val="28"/>
          <w:szCs w:val="28"/>
        </w:rPr>
        <w:t>本会保留追究责任</w:t>
      </w:r>
      <w:r w:rsidRPr="0081360B">
        <w:rPr>
          <w:rFonts w:ascii="仿宋" w:eastAsia="仿宋" w:hAnsi="仿宋" w:hint="eastAsia"/>
          <w:b/>
          <w:snapToGrid w:val="0"/>
          <w:sz w:val="28"/>
          <w:szCs w:val="28"/>
        </w:rPr>
        <w:t>。</w:t>
      </w:r>
    </w:p>
    <w:p w14:paraId="0EDC4D0C" w14:textId="77777777" w:rsidR="003D47DB" w:rsidRPr="0081360B" w:rsidRDefault="008233D2" w:rsidP="00CA77E7">
      <w:pPr>
        <w:spacing w:line="500" w:lineRule="exact"/>
        <w:rPr>
          <w:rFonts w:ascii="仿宋" w:eastAsia="仿宋" w:hAnsi="仿宋"/>
          <w:sz w:val="28"/>
          <w:szCs w:val="28"/>
        </w:rPr>
      </w:pPr>
      <w:r w:rsidRPr="0081360B">
        <w:rPr>
          <w:rFonts w:ascii="仿宋" w:eastAsia="仿宋" w:hAnsi="仿宋" w:hint="eastAsia"/>
          <w:snapToGrid w:val="0"/>
          <w:sz w:val="28"/>
          <w:szCs w:val="28"/>
        </w:rPr>
        <w:t>3.7  知识产权：科研项目成果的知识产权属于研究者所有，但赞助单位可以在其资料中无偿引用该研究成果。</w:t>
      </w:r>
    </w:p>
    <w:sectPr w:rsidR="003D47DB" w:rsidRPr="0081360B" w:rsidSect="003973CA">
      <w:footerReference w:type="default" r:id="rId10"/>
      <w:pgSz w:w="11907" w:h="16840" w:code="9"/>
      <w:pgMar w:top="1304" w:right="1134" w:bottom="936" w:left="1134" w:header="720" w:footer="1021" w:gutter="0"/>
      <w:pgNumType w:start="0"/>
      <w:cols w:space="720"/>
      <w:titlePg/>
      <w:docGrid w:linePitch="32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BD20" w14:textId="77777777" w:rsidR="006E0910" w:rsidRDefault="006E0910">
      <w:r>
        <w:separator/>
      </w:r>
    </w:p>
  </w:endnote>
  <w:endnote w:type="continuationSeparator" w:id="0">
    <w:p w14:paraId="293B11A7" w14:textId="77777777" w:rsidR="006E0910" w:rsidRDefault="006E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82CC" w14:textId="77777777" w:rsidR="00784DFD" w:rsidRDefault="0018687A" w:rsidP="002F06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D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416">
      <w:rPr>
        <w:rStyle w:val="a5"/>
        <w:noProof/>
      </w:rPr>
      <w:t>1</w:t>
    </w:r>
    <w:r>
      <w:rPr>
        <w:rStyle w:val="a5"/>
      </w:rPr>
      <w:fldChar w:fldCharType="end"/>
    </w:r>
  </w:p>
  <w:p w14:paraId="6DE2BB86" w14:textId="77777777" w:rsidR="00784DFD" w:rsidRDefault="00784D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62FE" w14:textId="77777777" w:rsidR="006E0910" w:rsidRDefault="006E0910">
      <w:r>
        <w:separator/>
      </w:r>
    </w:p>
  </w:footnote>
  <w:footnote w:type="continuationSeparator" w:id="0">
    <w:p w14:paraId="4DB78805" w14:textId="77777777" w:rsidR="006E0910" w:rsidRDefault="006E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2C6F0E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">
    <w:nsid w:val="032972BD"/>
    <w:multiLevelType w:val="singleLevel"/>
    <w:tmpl w:val="DECAA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7D5562"/>
    <w:multiLevelType w:val="singleLevel"/>
    <w:tmpl w:val="A9689D7E"/>
    <w:lvl w:ilvl="0">
      <w:start w:val="1"/>
      <w:numFmt w:val="japaneseCounting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3">
    <w:nsid w:val="227632CC"/>
    <w:multiLevelType w:val="singleLevel"/>
    <w:tmpl w:val="E9AAA838"/>
    <w:lvl w:ilvl="0">
      <w:start w:val="4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eastAsia"/>
      </w:rPr>
    </w:lvl>
  </w:abstractNum>
  <w:abstractNum w:abstractNumId="4">
    <w:nsid w:val="26C75448"/>
    <w:multiLevelType w:val="singleLevel"/>
    <w:tmpl w:val="1264E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5">
    <w:nsid w:val="397503EE"/>
    <w:multiLevelType w:val="singleLevel"/>
    <w:tmpl w:val="EA3A439E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>
    <w:nsid w:val="4B99604C"/>
    <w:multiLevelType w:val="singleLevel"/>
    <w:tmpl w:val="26DE6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785C66"/>
    <w:multiLevelType w:val="singleLevel"/>
    <w:tmpl w:val="233E869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>
    <w:nsid w:val="742625A2"/>
    <w:multiLevelType w:val="singleLevel"/>
    <w:tmpl w:val="04B6247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7DB"/>
    <w:rsid w:val="000029AF"/>
    <w:rsid w:val="000045AA"/>
    <w:rsid w:val="00030CF3"/>
    <w:rsid w:val="00032B60"/>
    <w:rsid w:val="00035113"/>
    <w:rsid w:val="00037661"/>
    <w:rsid w:val="00042311"/>
    <w:rsid w:val="00052FEF"/>
    <w:rsid w:val="000606DA"/>
    <w:rsid w:val="00066C4A"/>
    <w:rsid w:val="00067BDC"/>
    <w:rsid w:val="000851EA"/>
    <w:rsid w:val="000E39D8"/>
    <w:rsid w:val="000E718E"/>
    <w:rsid w:val="001078BE"/>
    <w:rsid w:val="0013287C"/>
    <w:rsid w:val="00135996"/>
    <w:rsid w:val="001369FE"/>
    <w:rsid w:val="00152666"/>
    <w:rsid w:val="0016233E"/>
    <w:rsid w:val="00175ED4"/>
    <w:rsid w:val="00181BA6"/>
    <w:rsid w:val="0018687A"/>
    <w:rsid w:val="00190EBD"/>
    <w:rsid w:val="00191F20"/>
    <w:rsid w:val="00195C80"/>
    <w:rsid w:val="00195EE6"/>
    <w:rsid w:val="001A010B"/>
    <w:rsid w:val="001A0D68"/>
    <w:rsid w:val="001A49F2"/>
    <w:rsid w:val="001D30E9"/>
    <w:rsid w:val="001E78FA"/>
    <w:rsid w:val="001F3A6C"/>
    <w:rsid w:val="002018A8"/>
    <w:rsid w:val="0020308F"/>
    <w:rsid w:val="002059FE"/>
    <w:rsid w:val="002123A4"/>
    <w:rsid w:val="002341F8"/>
    <w:rsid w:val="00235DC6"/>
    <w:rsid w:val="002567BF"/>
    <w:rsid w:val="00273D93"/>
    <w:rsid w:val="00285C59"/>
    <w:rsid w:val="00291FF8"/>
    <w:rsid w:val="002921D3"/>
    <w:rsid w:val="002B0F01"/>
    <w:rsid w:val="002F06AC"/>
    <w:rsid w:val="0030326C"/>
    <w:rsid w:val="00330DEA"/>
    <w:rsid w:val="003363A8"/>
    <w:rsid w:val="003400A5"/>
    <w:rsid w:val="00343F72"/>
    <w:rsid w:val="00357C62"/>
    <w:rsid w:val="003668C8"/>
    <w:rsid w:val="003973CA"/>
    <w:rsid w:val="003D47DB"/>
    <w:rsid w:val="00427975"/>
    <w:rsid w:val="00434148"/>
    <w:rsid w:val="00443437"/>
    <w:rsid w:val="00445A2D"/>
    <w:rsid w:val="00467F57"/>
    <w:rsid w:val="004B39E8"/>
    <w:rsid w:val="004C1E73"/>
    <w:rsid w:val="004C5835"/>
    <w:rsid w:val="004E2BE3"/>
    <w:rsid w:val="004E5969"/>
    <w:rsid w:val="004F5B62"/>
    <w:rsid w:val="005078E2"/>
    <w:rsid w:val="00517866"/>
    <w:rsid w:val="00527DBC"/>
    <w:rsid w:val="005314F3"/>
    <w:rsid w:val="00544CCE"/>
    <w:rsid w:val="00547CDE"/>
    <w:rsid w:val="00551E76"/>
    <w:rsid w:val="00563B73"/>
    <w:rsid w:val="00573F17"/>
    <w:rsid w:val="00575139"/>
    <w:rsid w:val="00595A00"/>
    <w:rsid w:val="005B6732"/>
    <w:rsid w:val="005C3613"/>
    <w:rsid w:val="005C579A"/>
    <w:rsid w:val="005D0D20"/>
    <w:rsid w:val="005D5FFF"/>
    <w:rsid w:val="005E1468"/>
    <w:rsid w:val="005E4038"/>
    <w:rsid w:val="005F05A5"/>
    <w:rsid w:val="005F2EBD"/>
    <w:rsid w:val="005F43B7"/>
    <w:rsid w:val="006327B3"/>
    <w:rsid w:val="00633A87"/>
    <w:rsid w:val="0066297F"/>
    <w:rsid w:val="006769B3"/>
    <w:rsid w:val="00692E92"/>
    <w:rsid w:val="0069763A"/>
    <w:rsid w:val="006E0910"/>
    <w:rsid w:val="007112C7"/>
    <w:rsid w:val="007375CC"/>
    <w:rsid w:val="007678D1"/>
    <w:rsid w:val="007746B2"/>
    <w:rsid w:val="00784DFD"/>
    <w:rsid w:val="007864E9"/>
    <w:rsid w:val="00787624"/>
    <w:rsid w:val="007A201C"/>
    <w:rsid w:val="007B4702"/>
    <w:rsid w:val="007C5443"/>
    <w:rsid w:val="007C5BBC"/>
    <w:rsid w:val="007E1395"/>
    <w:rsid w:val="007F636B"/>
    <w:rsid w:val="00806201"/>
    <w:rsid w:val="0081360B"/>
    <w:rsid w:val="00815899"/>
    <w:rsid w:val="008233D2"/>
    <w:rsid w:val="0082773F"/>
    <w:rsid w:val="00830126"/>
    <w:rsid w:val="008750ED"/>
    <w:rsid w:val="008A582D"/>
    <w:rsid w:val="008B76DD"/>
    <w:rsid w:val="008C30EF"/>
    <w:rsid w:val="008D39DE"/>
    <w:rsid w:val="008F054F"/>
    <w:rsid w:val="008F3335"/>
    <w:rsid w:val="008F4B95"/>
    <w:rsid w:val="009263B2"/>
    <w:rsid w:val="009274DC"/>
    <w:rsid w:val="009977C4"/>
    <w:rsid w:val="009A434B"/>
    <w:rsid w:val="009C73EC"/>
    <w:rsid w:val="009F3B43"/>
    <w:rsid w:val="009F3C6A"/>
    <w:rsid w:val="009F5296"/>
    <w:rsid w:val="00A031DB"/>
    <w:rsid w:val="00A21FB3"/>
    <w:rsid w:val="00A226EF"/>
    <w:rsid w:val="00A332EA"/>
    <w:rsid w:val="00A355E8"/>
    <w:rsid w:val="00A37536"/>
    <w:rsid w:val="00A40A0B"/>
    <w:rsid w:val="00A65DAC"/>
    <w:rsid w:val="00A74108"/>
    <w:rsid w:val="00A92E7C"/>
    <w:rsid w:val="00AC6944"/>
    <w:rsid w:val="00AC715A"/>
    <w:rsid w:val="00AE61A8"/>
    <w:rsid w:val="00AF285E"/>
    <w:rsid w:val="00B2091E"/>
    <w:rsid w:val="00B32EAA"/>
    <w:rsid w:val="00B44799"/>
    <w:rsid w:val="00B5378C"/>
    <w:rsid w:val="00B653DA"/>
    <w:rsid w:val="00B768FA"/>
    <w:rsid w:val="00BA236E"/>
    <w:rsid w:val="00BA4EBD"/>
    <w:rsid w:val="00BC4447"/>
    <w:rsid w:val="00BE564D"/>
    <w:rsid w:val="00BF18A4"/>
    <w:rsid w:val="00C10BD6"/>
    <w:rsid w:val="00C54E2B"/>
    <w:rsid w:val="00C71669"/>
    <w:rsid w:val="00C8496D"/>
    <w:rsid w:val="00CA77E7"/>
    <w:rsid w:val="00CE2844"/>
    <w:rsid w:val="00D0210E"/>
    <w:rsid w:val="00D11215"/>
    <w:rsid w:val="00D164CC"/>
    <w:rsid w:val="00D246C9"/>
    <w:rsid w:val="00D33C5C"/>
    <w:rsid w:val="00D533BA"/>
    <w:rsid w:val="00D64FDA"/>
    <w:rsid w:val="00D82A74"/>
    <w:rsid w:val="00D832AF"/>
    <w:rsid w:val="00DA03E1"/>
    <w:rsid w:val="00DB25EB"/>
    <w:rsid w:val="00DF1E65"/>
    <w:rsid w:val="00E27515"/>
    <w:rsid w:val="00E36416"/>
    <w:rsid w:val="00E44B4C"/>
    <w:rsid w:val="00E60BAF"/>
    <w:rsid w:val="00E769F1"/>
    <w:rsid w:val="00ED2815"/>
    <w:rsid w:val="00EE18D5"/>
    <w:rsid w:val="00EF1E89"/>
    <w:rsid w:val="00F65526"/>
    <w:rsid w:val="00FC11FD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1A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868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87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4">
    <w:name w:val="Plain Text"/>
    <w:basedOn w:val="a"/>
    <w:rsid w:val="0018687A"/>
    <w:rPr>
      <w:rFonts w:ascii="宋体" w:hAnsi="Courier New"/>
    </w:rPr>
  </w:style>
  <w:style w:type="character" w:styleId="a5">
    <w:name w:val="page number"/>
    <w:basedOn w:val="a0"/>
    <w:rsid w:val="0018687A"/>
  </w:style>
  <w:style w:type="paragraph" w:styleId="a6">
    <w:name w:val="header"/>
    <w:basedOn w:val="a"/>
    <w:rsid w:val="00292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0E39D8"/>
    <w:rPr>
      <w:color w:val="0000FF"/>
      <w:u w:val="single"/>
    </w:rPr>
  </w:style>
  <w:style w:type="paragraph" w:styleId="a8">
    <w:name w:val="Document Map"/>
    <w:basedOn w:val="a"/>
    <w:link w:val="Char"/>
    <w:rsid w:val="00037661"/>
    <w:rPr>
      <w:rFonts w:ascii="宋体"/>
      <w:sz w:val="18"/>
      <w:szCs w:val="18"/>
    </w:rPr>
  </w:style>
  <w:style w:type="character" w:customStyle="1" w:styleId="Char">
    <w:name w:val="文档结构图 Char"/>
    <w:link w:val="a8"/>
    <w:rsid w:val="00037661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9C76-7523-4326-AD9A-0D8576058F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687D13-B58D-4C1F-A7CE-D33FDCA6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163</Words>
  <Characters>931</Characters>
  <Application>Microsoft Office Word</Application>
  <DocSecurity>0</DocSecurity>
  <Lines>7</Lines>
  <Paragraphs>2</Paragraphs>
  <ScaleCrop>false</ScaleCrop>
  <Company>Merck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广东省医院药学研究基金标书</dc:title>
  <dc:creator>郑志华</dc:creator>
  <cp:lastModifiedBy>Administrator</cp:lastModifiedBy>
  <cp:revision>10</cp:revision>
  <cp:lastPrinted>2021-04-01T01:31:00Z</cp:lastPrinted>
  <dcterms:created xsi:type="dcterms:W3CDTF">2020-02-19T07:43:00Z</dcterms:created>
  <dcterms:modified xsi:type="dcterms:W3CDTF">2021-04-12T07:32:00Z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-2009053434</vt:i4>
  </property>
  <property fmtid="{D5CDD505-2E9C-101B-9397-08002B2CF9AE}" pid="3" name="_EmailSubject">
    <vt:lpwstr>科研基金合同</vt:lpwstr>
  </property>
  <property fmtid="{D5CDD505-2E9C-101B-9397-08002B2CF9AE}" pid="4" name="_AuthorEmail">
    <vt:lpwstr>yan_he@merck.com</vt:lpwstr>
  </property>
  <property fmtid="{D5CDD505-2E9C-101B-9397-08002B2CF9AE}" pid="5" name="_AuthorEmailDisplayName">
    <vt:lpwstr>He, Yan</vt:lpwstr>
  </property>
  <property fmtid="{D5CDD505-2E9C-101B-9397-08002B2CF9AE}" pid="6" name="_ReviewingToolsShownOnce">
    <vt:lpwstr/>
  </property>
  <property fmtid="{D5CDD505-2E9C-101B-9397-08002B2CF9AE}" pid="7" name="docIndexRef">
    <vt:lpwstr>a5f0887b-5c7e-41d0-9a87-d2bbb5866142</vt:lpwstr>
  </property>
  <property fmtid="{D5CDD505-2E9C-101B-9397-08002B2CF9AE}" pid="8" name="bjSaver">
    <vt:lpwstr>Yq+f4SIX3cqR47upfuWg+ZnVMCefL7cL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</Properties>
</file>