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8FD" w:rsidRDefault="008F455C">
      <w:pPr>
        <w:jc w:val="center"/>
        <w:rPr>
          <w:rFonts w:ascii="宋体" w:hAnsi="宋体"/>
          <w:b/>
          <w:bCs/>
          <w:color w:val="000000" w:themeColor="text1"/>
          <w:sz w:val="44"/>
          <w:szCs w:val="44"/>
        </w:rPr>
      </w:pPr>
      <w:r>
        <w:rPr>
          <w:rFonts w:ascii="宋体" w:hAnsi="宋体" w:hint="eastAsia"/>
          <w:b/>
          <w:bCs/>
          <w:sz w:val="44"/>
          <w:szCs w:val="44"/>
        </w:rPr>
        <w:t>广东省医院药学研究基金——</w:t>
      </w:r>
      <w:r>
        <w:rPr>
          <w:rFonts w:ascii="宋体" w:hAnsi="宋体" w:hint="eastAsia"/>
          <w:b/>
          <w:bCs/>
          <w:color w:val="000000" w:themeColor="text1"/>
          <w:sz w:val="44"/>
          <w:szCs w:val="44"/>
        </w:rPr>
        <w:t>慢性脑血管疾病防治研究基金（众生基金）工作方案</w:t>
      </w:r>
    </w:p>
    <w:p w:rsidR="007258FD" w:rsidRDefault="007258FD">
      <w:pPr>
        <w:spacing w:line="540" w:lineRule="exact"/>
        <w:rPr>
          <w:rFonts w:ascii="仿宋" w:eastAsia="仿宋" w:hAnsi="仿宋"/>
          <w:b/>
          <w:bCs/>
          <w:sz w:val="28"/>
          <w:szCs w:val="28"/>
        </w:rPr>
      </w:pPr>
    </w:p>
    <w:p w:rsidR="007258FD" w:rsidRDefault="008F455C">
      <w:pPr>
        <w:spacing w:line="500" w:lineRule="exact"/>
        <w:rPr>
          <w:rFonts w:ascii="仿宋" w:eastAsia="仿宋" w:hAnsi="仿宋"/>
          <w:b/>
          <w:snapToGrid w:val="0"/>
          <w:sz w:val="28"/>
          <w:szCs w:val="28"/>
        </w:rPr>
      </w:pPr>
      <w:r>
        <w:rPr>
          <w:rFonts w:ascii="仿宋" w:eastAsia="仿宋" w:hAnsi="仿宋" w:hint="eastAsia"/>
          <w:b/>
          <w:snapToGrid w:val="0"/>
          <w:sz w:val="28"/>
          <w:szCs w:val="28"/>
        </w:rPr>
        <w:t>1.  宗旨</w:t>
      </w:r>
    </w:p>
    <w:p w:rsidR="007258FD" w:rsidRDefault="008F455C">
      <w:pPr>
        <w:spacing w:line="500" w:lineRule="exact"/>
        <w:rPr>
          <w:rFonts w:ascii="仿宋" w:eastAsia="仿宋" w:hAnsi="仿宋"/>
          <w:snapToGrid w:val="0"/>
          <w:sz w:val="28"/>
          <w:szCs w:val="28"/>
        </w:rPr>
      </w:pPr>
      <w:r>
        <w:rPr>
          <w:rFonts w:ascii="仿宋" w:eastAsia="仿宋" w:hAnsi="仿宋" w:hint="eastAsia"/>
          <w:snapToGrid w:val="0"/>
          <w:sz w:val="28"/>
          <w:szCs w:val="28"/>
        </w:rPr>
        <w:t>慢性脑血管疾病防治研究基金（众生基金）的宗旨为：推动广东省医院药学科研发展，为广大医院药师创造学术交流及科研机会，提高广东省医院临床用药学科建设，优化慢性脑血管疾病防治合理用药，推动医疗资源合理使用。</w:t>
      </w:r>
    </w:p>
    <w:p w:rsidR="007258FD" w:rsidRDefault="007258FD">
      <w:pPr>
        <w:spacing w:line="500" w:lineRule="exact"/>
        <w:rPr>
          <w:rFonts w:ascii="仿宋" w:eastAsia="仿宋" w:hAnsi="仿宋"/>
          <w:snapToGrid w:val="0"/>
          <w:sz w:val="28"/>
          <w:szCs w:val="28"/>
        </w:rPr>
      </w:pPr>
    </w:p>
    <w:p w:rsidR="007258FD" w:rsidRDefault="008F455C">
      <w:pPr>
        <w:spacing w:line="500" w:lineRule="exact"/>
        <w:rPr>
          <w:rFonts w:ascii="仿宋" w:eastAsia="仿宋" w:hAnsi="仿宋"/>
          <w:b/>
          <w:snapToGrid w:val="0"/>
          <w:sz w:val="28"/>
          <w:szCs w:val="28"/>
        </w:rPr>
      </w:pPr>
      <w:r>
        <w:rPr>
          <w:rFonts w:ascii="仿宋" w:eastAsia="仿宋" w:hAnsi="仿宋" w:hint="eastAsia"/>
          <w:b/>
          <w:snapToGrid w:val="0"/>
          <w:sz w:val="28"/>
          <w:szCs w:val="28"/>
        </w:rPr>
        <w:t>2.  委员会组成</w:t>
      </w:r>
    </w:p>
    <w:p w:rsidR="007258FD" w:rsidRDefault="008F455C">
      <w:pPr>
        <w:spacing w:line="500" w:lineRule="exact"/>
        <w:rPr>
          <w:rFonts w:ascii="仿宋" w:eastAsia="仿宋" w:hAnsi="仿宋"/>
          <w:snapToGrid w:val="0"/>
          <w:sz w:val="28"/>
          <w:szCs w:val="28"/>
        </w:rPr>
      </w:pPr>
      <w:r>
        <w:rPr>
          <w:rFonts w:ascii="仿宋" w:eastAsia="仿宋" w:hAnsi="仿宋" w:hint="eastAsia"/>
          <w:snapToGrid w:val="0"/>
          <w:sz w:val="28"/>
          <w:szCs w:val="28"/>
        </w:rPr>
        <w:t>广东省医院药学研究基金评审委员会（以下简称“评委会”）由广东省药学会相关专业委员会成员及三甲医院临床或药学专家等具有高级技术职称的人员组成。</w:t>
      </w:r>
    </w:p>
    <w:p w:rsidR="007258FD" w:rsidRDefault="007258FD">
      <w:pPr>
        <w:spacing w:line="500" w:lineRule="exact"/>
        <w:rPr>
          <w:rFonts w:ascii="仿宋" w:eastAsia="仿宋" w:hAnsi="仿宋"/>
          <w:snapToGrid w:val="0"/>
          <w:sz w:val="28"/>
          <w:szCs w:val="28"/>
        </w:rPr>
      </w:pPr>
    </w:p>
    <w:p w:rsidR="007258FD" w:rsidRDefault="008F455C">
      <w:pPr>
        <w:spacing w:line="500" w:lineRule="exact"/>
        <w:rPr>
          <w:rFonts w:ascii="仿宋" w:eastAsia="仿宋" w:hAnsi="仿宋"/>
          <w:b/>
          <w:snapToGrid w:val="0"/>
          <w:sz w:val="28"/>
          <w:szCs w:val="28"/>
        </w:rPr>
      </w:pPr>
      <w:r>
        <w:rPr>
          <w:rFonts w:ascii="仿宋" w:eastAsia="仿宋" w:hAnsi="仿宋" w:hint="eastAsia"/>
          <w:b/>
          <w:snapToGrid w:val="0"/>
          <w:sz w:val="28"/>
          <w:szCs w:val="28"/>
        </w:rPr>
        <w:t>3．基金申报运行流程</w:t>
      </w:r>
    </w:p>
    <w:p w:rsidR="007258FD" w:rsidRDefault="008F455C">
      <w:pPr>
        <w:spacing w:line="500" w:lineRule="exact"/>
        <w:rPr>
          <w:rFonts w:ascii="仿宋" w:eastAsia="仿宋" w:hAnsi="仿宋"/>
          <w:snapToGrid w:val="0"/>
          <w:color w:val="000000"/>
          <w:sz w:val="28"/>
          <w:szCs w:val="28"/>
        </w:rPr>
      </w:pPr>
      <w:r>
        <w:rPr>
          <w:rFonts w:ascii="仿宋" w:eastAsia="仿宋" w:hAnsi="仿宋" w:hint="eastAsia"/>
          <w:snapToGrid w:val="0"/>
          <w:sz w:val="28"/>
          <w:szCs w:val="28"/>
        </w:rPr>
        <w:t xml:space="preserve">3.1  </w:t>
      </w:r>
      <w:r>
        <w:rPr>
          <w:rFonts w:ascii="仿宋" w:eastAsia="仿宋" w:hAnsi="仿宋" w:hint="eastAsia"/>
          <w:snapToGrid w:val="0"/>
          <w:color w:val="000000"/>
          <w:sz w:val="28"/>
          <w:szCs w:val="28"/>
        </w:rPr>
        <w:t>项目方向：本项目以下列研究方向为主，申报人可根据实际情况，选择符合方向的课题进行申报：</w:t>
      </w:r>
    </w:p>
    <w:p w:rsidR="007258FD" w:rsidRDefault="008F455C">
      <w:pPr>
        <w:spacing w:line="500" w:lineRule="exact"/>
        <w:rPr>
          <w:rFonts w:ascii="仿宋" w:eastAsia="仿宋" w:hAnsi="仿宋"/>
          <w:snapToGrid w:val="0"/>
          <w:color w:val="000000"/>
          <w:sz w:val="28"/>
          <w:szCs w:val="28"/>
        </w:rPr>
      </w:pPr>
      <w:r>
        <w:rPr>
          <w:rFonts w:ascii="仿宋" w:eastAsia="仿宋" w:hAnsi="仿宋" w:hint="eastAsia"/>
          <w:snapToGrid w:val="0"/>
          <w:color w:val="000000"/>
          <w:sz w:val="28"/>
          <w:szCs w:val="28"/>
        </w:rPr>
        <w:t>（一）慢性脑血管药物作用机制与靶点研究;</w:t>
      </w:r>
    </w:p>
    <w:p w:rsidR="007258FD" w:rsidRDefault="008F455C">
      <w:pPr>
        <w:spacing w:line="500" w:lineRule="exact"/>
        <w:rPr>
          <w:rFonts w:ascii="仿宋" w:eastAsia="仿宋" w:hAnsi="仿宋"/>
          <w:snapToGrid w:val="0"/>
          <w:color w:val="000000"/>
          <w:sz w:val="28"/>
          <w:szCs w:val="28"/>
        </w:rPr>
      </w:pPr>
      <w:r>
        <w:rPr>
          <w:rFonts w:ascii="仿宋" w:eastAsia="仿宋" w:hAnsi="仿宋" w:hint="eastAsia"/>
          <w:snapToGrid w:val="0"/>
          <w:color w:val="000000"/>
          <w:sz w:val="28"/>
          <w:szCs w:val="28"/>
        </w:rPr>
        <w:t>（二）慢性脑血管药物个体化/精准用药;</w:t>
      </w:r>
    </w:p>
    <w:p w:rsidR="007258FD" w:rsidRDefault="008F455C">
      <w:pPr>
        <w:spacing w:line="500" w:lineRule="exact"/>
        <w:rPr>
          <w:rFonts w:ascii="仿宋" w:eastAsia="仿宋" w:hAnsi="仿宋"/>
          <w:snapToGrid w:val="0"/>
          <w:color w:val="000000"/>
          <w:sz w:val="28"/>
          <w:szCs w:val="28"/>
        </w:rPr>
      </w:pPr>
      <w:r>
        <w:rPr>
          <w:rFonts w:ascii="仿宋" w:eastAsia="仿宋" w:hAnsi="仿宋" w:hint="eastAsia"/>
          <w:snapToGrid w:val="0"/>
          <w:color w:val="000000"/>
          <w:sz w:val="28"/>
          <w:szCs w:val="28"/>
        </w:rPr>
        <w:t>（三）慢性脑血管疾病药物临床路径与用药规范化研究；</w:t>
      </w:r>
    </w:p>
    <w:p w:rsidR="007258FD" w:rsidRDefault="008F455C">
      <w:pPr>
        <w:spacing w:line="500" w:lineRule="exact"/>
        <w:rPr>
          <w:rFonts w:ascii="仿宋" w:eastAsia="仿宋" w:hAnsi="仿宋"/>
          <w:snapToGrid w:val="0"/>
          <w:color w:val="000000"/>
          <w:sz w:val="28"/>
          <w:szCs w:val="28"/>
        </w:rPr>
      </w:pPr>
      <w:r>
        <w:rPr>
          <w:rFonts w:ascii="仿宋" w:eastAsia="仿宋" w:hAnsi="仿宋" w:hint="eastAsia"/>
          <w:snapToGrid w:val="0"/>
          <w:color w:val="000000"/>
          <w:sz w:val="28"/>
          <w:szCs w:val="28"/>
        </w:rPr>
        <w:t>（四）药学服务中慢性脑血管疾病管理的相关研究；</w:t>
      </w:r>
    </w:p>
    <w:p w:rsidR="007258FD" w:rsidRDefault="008F455C">
      <w:pPr>
        <w:spacing w:line="500" w:lineRule="exact"/>
        <w:rPr>
          <w:rFonts w:ascii="仿宋" w:eastAsia="仿宋" w:hAnsi="仿宋"/>
          <w:snapToGrid w:val="0"/>
          <w:color w:val="000000"/>
          <w:sz w:val="28"/>
          <w:szCs w:val="28"/>
        </w:rPr>
      </w:pPr>
      <w:r>
        <w:rPr>
          <w:rFonts w:ascii="仿宋" w:eastAsia="仿宋" w:hAnsi="仿宋" w:hint="eastAsia"/>
          <w:snapToGrid w:val="0"/>
          <w:color w:val="000000"/>
          <w:sz w:val="28"/>
          <w:szCs w:val="28"/>
        </w:rPr>
        <w:t>（五）其他慢性脑血管病药物相关的药学评价与研究。</w:t>
      </w:r>
    </w:p>
    <w:p w:rsidR="007258FD" w:rsidRDefault="008F455C">
      <w:pPr>
        <w:spacing w:line="500" w:lineRule="exact"/>
        <w:rPr>
          <w:rFonts w:ascii="仿宋" w:eastAsia="仿宋" w:hAnsi="仿宋"/>
          <w:snapToGrid w:val="0"/>
          <w:sz w:val="28"/>
          <w:szCs w:val="28"/>
        </w:rPr>
      </w:pPr>
      <w:r>
        <w:rPr>
          <w:rFonts w:ascii="仿宋" w:eastAsia="仿宋" w:hAnsi="仿宋" w:hint="eastAsia"/>
          <w:snapToGrid w:val="0"/>
          <w:sz w:val="28"/>
          <w:szCs w:val="28"/>
        </w:rPr>
        <w:t xml:space="preserve">3.2 </w:t>
      </w:r>
      <w:r>
        <w:rPr>
          <w:rFonts w:ascii="仿宋" w:eastAsia="仿宋" w:hAnsi="仿宋"/>
          <w:snapToGrid w:val="0"/>
          <w:sz w:val="28"/>
          <w:szCs w:val="28"/>
        </w:rPr>
        <w:t xml:space="preserve"> </w:t>
      </w:r>
      <w:r>
        <w:rPr>
          <w:rFonts w:ascii="仿宋" w:eastAsia="仿宋" w:hAnsi="仿宋" w:hint="eastAsia"/>
          <w:snapToGrid w:val="0"/>
          <w:sz w:val="28"/>
          <w:szCs w:val="28"/>
        </w:rPr>
        <w:t>项目：</w:t>
      </w:r>
      <w:r>
        <w:rPr>
          <w:rFonts w:ascii="仿宋" w:eastAsia="仿宋" w:hAnsi="仿宋"/>
          <w:snapToGrid w:val="0"/>
          <w:sz w:val="28"/>
          <w:szCs w:val="28"/>
        </w:rPr>
        <w:t>2</w:t>
      </w:r>
      <w:r>
        <w:rPr>
          <w:rFonts w:ascii="仿宋" w:eastAsia="仿宋" w:hAnsi="仿宋" w:hint="eastAsia"/>
          <w:snapToGrid w:val="0"/>
          <w:sz w:val="28"/>
          <w:szCs w:val="28"/>
        </w:rPr>
        <w:t>0个课题，其中资助经费</w:t>
      </w:r>
      <w:r>
        <w:rPr>
          <w:rFonts w:ascii="仿宋" w:eastAsia="仿宋" w:hAnsi="仿宋"/>
          <w:snapToGrid w:val="0"/>
          <w:sz w:val="28"/>
          <w:szCs w:val="28"/>
        </w:rPr>
        <w:t>50</w:t>
      </w:r>
      <w:r>
        <w:rPr>
          <w:rFonts w:ascii="仿宋" w:eastAsia="仿宋" w:hAnsi="仿宋" w:hint="eastAsia"/>
          <w:snapToGrid w:val="0"/>
          <w:sz w:val="28"/>
          <w:szCs w:val="28"/>
        </w:rPr>
        <w:t>000元的3个（其中药学基础研究项目2个，药学临床研究项目1个）、3</w:t>
      </w:r>
      <w:r>
        <w:rPr>
          <w:rFonts w:ascii="仿宋" w:eastAsia="仿宋" w:hAnsi="仿宋"/>
          <w:snapToGrid w:val="0"/>
          <w:sz w:val="28"/>
          <w:szCs w:val="28"/>
        </w:rPr>
        <w:t>0</w:t>
      </w:r>
      <w:r>
        <w:rPr>
          <w:rFonts w:ascii="仿宋" w:eastAsia="仿宋" w:hAnsi="仿宋" w:hint="eastAsia"/>
          <w:snapToGrid w:val="0"/>
          <w:sz w:val="28"/>
          <w:szCs w:val="28"/>
        </w:rPr>
        <w:t>000元的5个（其中药学基础研究项目3个，药学临床研究项目2个）、1</w:t>
      </w:r>
      <w:r>
        <w:rPr>
          <w:rFonts w:ascii="仿宋" w:eastAsia="仿宋" w:hAnsi="仿宋"/>
          <w:snapToGrid w:val="0"/>
          <w:sz w:val="28"/>
          <w:szCs w:val="28"/>
        </w:rPr>
        <w:t>0000</w:t>
      </w:r>
      <w:r>
        <w:rPr>
          <w:rFonts w:ascii="仿宋" w:eastAsia="仿宋" w:hAnsi="仿宋" w:hint="eastAsia"/>
          <w:snapToGrid w:val="0"/>
          <w:sz w:val="28"/>
          <w:szCs w:val="28"/>
        </w:rPr>
        <w:t>元的</w:t>
      </w:r>
      <w:r>
        <w:rPr>
          <w:rFonts w:ascii="仿宋" w:eastAsia="仿宋" w:hAnsi="仿宋"/>
          <w:snapToGrid w:val="0"/>
          <w:sz w:val="28"/>
          <w:szCs w:val="28"/>
        </w:rPr>
        <w:t>1</w:t>
      </w:r>
      <w:r>
        <w:rPr>
          <w:rFonts w:ascii="仿宋" w:eastAsia="仿宋" w:hAnsi="仿宋" w:hint="eastAsia"/>
          <w:snapToGrid w:val="0"/>
          <w:sz w:val="28"/>
          <w:szCs w:val="28"/>
        </w:rPr>
        <w:t>2个（药学临床研究项目12个）。由评委会评审决定。所有项目的资助周期为1年，如确需要可延期1年，但需提交延期报告，格式参照结题</w:t>
      </w:r>
      <w:r>
        <w:rPr>
          <w:rFonts w:ascii="仿宋" w:eastAsia="仿宋" w:hAnsi="仿宋" w:hint="eastAsia"/>
          <w:snapToGrid w:val="0"/>
          <w:sz w:val="28"/>
          <w:szCs w:val="28"/>
        </w:rPr>
        <w:lastRenderedPageBreak/>
        <w:t>报告书。</w:t>
      </w:r>
    </w:p>
    <w:p w:rsidR="007258FD" w:rsidRDefault="008F455C">
      <w:pPr>
        <w:spacing w:line="500" w:lineRule="exact"/>
        <w:rPr>
          <w:rFonts w:ascii="仿宋" w:eastAsia="仿宋" w:hAnsi="仿宋"/>
          <w:snapToGrid w:val="0"/>
          <w:sz w:val="28"/>
          <w:szCs w:val="28"/>
        </w:rPr>
      </w:pPr>
      <w:r>
        <w:rPr>
          <w:rFonts w:ascii="仿宋" w:eastAsia="仿宋" w:hAnsi="仿宋" w:hint="eastAsia"/>
          <w:snapToGrid w:val="0"/>
          <w:sz w:val="28"/>
          <w:szCs w:val="28"/>
        </w:rPr>
        <w:t>3.3  具体流程：药学会发项目申报通知到各医院药学部门→医院药学部门向药学会提供科研方案→评委会评审方案的合理性，选出立项项目→立项单位签订立项合同书→药学会将经费转入立项单位→项目研究→向药学会交结题报告→评审→通过评审的结题报告由药学会备案。</w:t>
      </w:r>
    </w:p>
    <w:p w:rsidR="007258FD" w:rsidRDefault="008F455C">
      <w:pPr>
        <w:widowControl/>
        <w:spacing w:line="500" w:lineRule="exact"/>
        <w:rPr>
          <w:rFonts w:ascii="仿宋" w:eastAsia="仿宋" w:hAnsi="仿宋"/>
          <w:snapToGrid w:val="0"/>
          <w:sz w:val="28"/>
          <w:szCs w:val="28"/>
        </w:rPr>
      </w:pPr>
      <w:r>
        <w:rPr>
          <w:rFonts w:ascii="仿宋" w:eastAsia="仿宋" w:hAnsi="仿宋" w:hint="eastAsia"/>
          <w:snapToGrid w:val="0"/>
          <w:sz w:val="28"/>
          <w:szCs w:val="28"/>
        </w:rPr>
        <w:t>3.4  项目申请：广东省行政区内二级以上医院药学人员可向广东省药学会提出项目申请（每家医院限报1个项目</w:t>
      </w:r>
      <w:r w:rsidR="00310F1D">
        <w:rPr>
          <w:rFonts w:ascii="仿宋" w:eastAsia="仿宋" w:hAnsi="仿宋" w:hint="eastAsia"/>
          <w:snapToGrid w:val="0"/>
          <w:sz w:val="28"/>
          <w:szCs w:val="28"/>
        </w:rPr>
        <w:t>）</w:t>
      </w:r>
      <w:bookmarkStart w:id="0" w:name="_GoBack"/>
      <w:bookmarkEnd w:id="0"/>
      <w:r>
        <w:rPr>
          <w:rFonts w:ascii="仿宋" w:eastAsia="仿宋" w:hAnsi="仿宋" w:hint="eastAsia"/>
          <w:snapToGrid w:val="0"/>
          <w:sz w:val="28"/>
          <w:szCs w:val="28"/>
        </w:rPr>
        <w:t>，提交指定项目申请书，申请书须经申请者单位同意并签盖公章。评委会评选出</w:t>
      </w:r>
      <w:r>
        <w:rPr>
          <w:rFonts w:ascii="仿宋" w:eastAsia="仿宋" w:hAnsi="仿宋"/>
          <w:snapToGrid w:val="0"/>
          <w:sz w:val="28"/>
          <w:szCs w:val="28"/>
        </w:rPr>
        <w:t>2</w:t>
      </w:r>
      <w:r>
        <w:rPr>
          <w:rFonts w:ascii="仿宋" w:eastAsia="仿宋" w:hAnsi="仿宋" w:hint="eastAsia"/>
          <w:snapToGrid w:val="0"/>
          <w:sz w:val="28"/>
          <w:szCs w:val="28"/>
        </w:rPr>
        <w:t>0个项目并确定资助金额，</w:t>
      </w:r>
      <w:r w:rsidR="00BD71D9" w:rsidRPr="00BD71D9">
        <w:rPr>
          <w:rFonts w:ascii="仿宋" w:eastAsia="仿宋" w:hAnsi="仿宋" w:hint="eastAsia"/>
          <w:snapToGrid w:val="0"/>
          <w:sz w:val="28"/>
          <w:szCs w:val="28"/>
        </w:rPr>
        <w:t>立项单位须在名单公布后15个工作日内与本会签订《广东省医院药学研究基金立项合同书》</w:t>
      </w:r>
      <w:r>
        <w:rPr>
          <w:rFonts w:ascii="仿宋" w:eastAsia="仿宋" w:hAnsi="仿宋" w:hint="eastAsia"/>
          <w:snapToGrid w:val="0"/>
          <w:sz w:val="28"/>
          <w:szCs w:val="28"/>
        </w:rPr>
        <w:t>。</w:t>
      </w:r>
    </w:p>
    <w:p w:rsidR="007258FD" w:rsidRDefault="008F455C">
      <w:pPr>
        <w:spacing w:line="500" w:lineRule="exact"/>
        <w:rPr>
          <w:rFonts w:ascii="仿宋" w:eastAsia="仿宋" w:hAnsi="仿宋"/>
          <w:snapToGrid w:val="0"/>
          <w:sz w:val="28"/>
          <w:szCs w:val="28"/>
        </w:rPr>
      </w:pPr>
      <w:r>
        <w:rPr>
          <w:rFonts w:ascii="仿宋" w:eastAsia="仿宋" w:hAnsi="仿宋" w:hint="eastAsia"/>
          <w:snapToGrid w:val="0"/>
          <w:sz w:val="28"/>
          <w:szCs w:val="28"/>
        </w:rPr>
        <w:t>3.5  科研经费：项目立项后，广东省药学会将项目经费转入立项单位。</w:t>
      </w:r>
      <w:r w:rsidR="00BD71D9" w:rsidRPr="00BD71D9">
        <w:rPr>
          <w:rFonts w:ascii="仿宋" w:eastAsia="仿宋" w:hAnsi="仿宋" w:hint="eastAsia"/>
          <w:b/>
          <w:snapToGrid w:val="0"/>
          <w:sz w:val="28"/>
          <w:szCs w:val="28"/>
        </w:rPr>
        <w:t>根据国家财务审计政策，立项单位在收取科研基金后，须在15个工作日内提供税务发票</w:t>
      </w:r>
      <w:r>
        <w:rPr>
          <w:rFonts w:ascii="仿宋" w:eastAsia="仿宋" w:hAnsi="仿宋" w:hint="eastAsia"/>
          <w:b/>
          <w:snapToGrid w:val="0"/>
          <w:sz w:val="28"/>
          <w:szCs w:val="28"/>
        </w:rPr>
        <w:t>。</w:t>
      </w:r>
      <w:r>
        <w:rPr>
          <w:rFonts w:ascii="仿宋" w:eastAsia="仿宋" w:hAnsi="仿宋" w:hint="eastAsia"/>
          <w:snapToGrid w:val="0"/>
          <w:sz w:val="28"/>
          <w:szCs w:val="28"/>
        </w:rPr>
        <w:t>由立项单位监督管理经费的使用，保证专款专用。</w:t>
      </w:r>
    </w:p>
    <w:p w:rsidR="007258FD" w:rsidRDefault="008F455C">
      <w:pPr>
        <w:spacing w:line="500" w:lineRule="exact"/>
        <w:rPr>
          <w:rFonts w:ascii="仿宋" w:eastAsia="仿宋" w:hAnsi="仿宋"/>
          <w:b/>
          <w:snapToGrid w:val="0"/>
          <w:sz w:val="28"/>
          <w:szCs w:val="28"/>
        </w:rPr>
      </w:pPr>
      <w:r>
        <w:rPr>
          <w:rFonts w:ascii="仿宋" w:eastAsia="仿宋" w:hAnsi="仿宋" w:hint="eastAsia"/>
          <w:snapToGrid w:val="0"/>
          <w:sz w:val="28"/>
          <w:szCs w:val="28"/>
        </w:rPr>
        <w:t>3.6  结题：项目完成后，立项单位应向评委会提交项目结题报告与单位财务部门出具的经费使用清单，由评委会负责评审。评审通过后的项目结题报告应分别交赞助单位及药学会备案。</w:t>
      </w:r>
      <w:r>
        <w:rPr>
          <w:rFonts w:ascii="仿宋" w:eastAsia="仿宋" w:hAnsi="仿宋" w:hint="eastAsia"/>
          <w:b/>
          <w:snapToGrid w:val="0"/>
          <w:sz w:val="28"/>
          <w:szCs w:val="28"/>
        </w:rPr>
        <w:t>凡未提交项目结题报告或其内容不真实的，本会保留追究责任。</w:t>
      </w:r>
    </w:p>
    <w:p w:rsidR="007258FD" w:rsidRDefault="008F455C">
      <w:pPr>
        <w:spacing w:line="500" w:lineRule="exact"/>
        <w:rPr>
          <w:rFonts w:ascii="仿宋" w:eastAsia="仿宋" w:hAnsi="仿宋"/>
          <w:sz w:val="28"/>
          <w:szCs w:val="28"/>
        </w:rPr>
      </w:pPr>
      <w:r>
        <w:rPr>
          <w:rFonts w:ascii="仿宋" w:eastAsia="仿宋" w:hAnsi="仿宋" w:hint="eastAsia"/>
          <w:snapToGrid w:val="0"/>
          <w:sz w:val="28"/>
          <w:szCs w:val="28"/>
        </w:rPr>
        <w:t>3.7  知识产权：科研项目成果的知识产权属于研究者所有，但赞助单位可以在其资料中无偿引用该研究成果。</w:t>
      </w:r>
    </w:p>
    <w:p w:rsidR="007258FD" w:rsidRDefault="007258FD">
      <w:pPr>
        <w:spacing w:line="540" w:lineRule="exact"/>
        <w:ind w:firstLineChars="200" w:firstLine="420"/>
      </w:pPr>
    </w:p>
    <w:sectPr w:rsidR="007258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576" w:rsidRDefault="007B5576" w:rsidP="00BD71D9">
      <w:r>
        <w:separator/>
      </w:r>
    </w:p>
  </w:endnote>
  <w:endnote w:type="continuationSeparator" w:id="0">
    <w:p w:rsidR="007B5576" w:rsidRDefault="007B5576" w:rsidP="00BD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576" w:rsidRDefault="007B5576" w:rsidP="00BD71D9">
      <w:r>
        <w:separator/>
      </w:r>
    </w:p>
  </w:footnote>
  <w:footnote w:type="continuationSeparator" w:id="0">
    <w:p w:rsidR="007B5576" w:rsidRDefault="007B5576" w:rsidP="00BD7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49"/>
    <w:rsid w:val="BA75330D"/>
    <w:rsid w:val="E7FF6056"/>
    <w:rsid w:val="0001143D"/>
    <w:rsid w:val="00044D73"/>
    <w:rsid w:val="000E6342"/>
    <w:rsid w:val="00105DE0"/>
    <w:rsid w:val="0015116C"/>
    <w:rsid w:val="00164000"/>
    <w:rsid w:val="002841F8"/>
    <w:rsid w:val="002A5150"/>
    <w:rsid w:val="00310F1D"/>
    <w:rsid w:val="003464DA"/>
    <w:rsid w:val="004E2DA6"/>
    <w:rsid w:val="00536622"/>
    <w:rsid w:val="00571E98"/>
    <w:rsid w:val="005A043C"/>
    <w:rsid w:val="005F2E17"/>
    <w:rsid w:val="006475DD"/>
    <w:rsid w:val="00671F4C"/>
    <w:rsid w:val="0068658F"/>
    <w:rsid w:val="006A1933"/>
    <w:rsid w:val="006D4F02"/>
    <w:rsid w:val="006E57F6"/>
    <w:rsid w:val="007258FD"/>
    <w:rsid w:val="007674C6"/>
    <w:rsid w:val="007B5576"/>
    <w:rsid w:val="0081090B"/>
    <w:rsid w:val="00825DC4"/>
    <w:rsid w:val="008E5E49"/>
    <w:rsid w:val="008F455C"/>
    <w:rsid w:val="00A06F0D"/>
    <w:rsid w:val="00A85AC9"/>
    <w:rsid w:val="00AC60C5"/>
    <w:rsid w:val="00B63353"/>
    <w:rsid w:val="00BB765F"/>
    <w:rsid w:val="00BD71D9"/>
    <w:rsid w:val="00C34DEA"/>
    <w:rsid w:val="00C5054D"/>
    <w:rsid w:val="00C5529D"/>
    <w:rsid w:val="00CB2E62"/>
    <w:rsid w:val="00D144C0"/>
    <w:rsid w:val="00D62DF4"/>
    <w:rsid w:val="00FC6BA8"/>
    <w:rsid w:val="71F71BA1"/>
    <w:rsid w:val="7D1F94C5"/>
    <w:rsid w:val="7FFF3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979747-49C5-48F6-86E9-9394DC7C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Calibri" w:eastAsia="宋体" w:hAnsi="Calibri" w:cs="Times New Roman"/>
      <w:sz w:val="18"/>
      <w:szCs w:val="18"/>
    </w:rPr>
  </w:style>
  <w:style w:type="character" w:customStyle="1" w:styleId="Char">
    <w:name w:val="页脚 Char"/>
    <w:basedOn w:val="a0"/>
    <w:link w:val="a3"/>
    <w:uiPriority w:val="9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cp:lastModifiedBy>
  <cp:revision>59</cp:revision>
  <dcterms:created xsi:type="dcterms:W3CDTF">2024-07-14T02:05:00Z</dcterms:created>
  <dcterms:modified xsi:type="dcterms:W3CDTF">2026-03-27T07:32:00Z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D1C5C94AB151EA2E9FEE376976AC3534_42</vt:lpwstr>
  </property>
</Properties>
</file>