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47" w:rsidRDefault="00F54147" w:rsidP="00F54147">
      <w:pPr>
        <w:spacing w:line="560" w:lineRule="exact"/>
        <w:ind w:rightChars="539" w:right="1132"/>
        <w:rPr>
          <w:rFonts w:ascii="仿宋" w:eastAsia="仿宋" w:hAnsi="仿宋"/>
          <w:sz w:val="32"/>
          <w:szCs w:val="32"/>
        </w:rPr>
      </w:pPr>
      <w:r>
        <w:rPr>
          <w:rFonts w:ascii="仿宋" w:eastAsia="仿宋" w:hAnsi="仿宋" w:hint="eastAsia"/>
          <w:sz w:val="32"/>
          <w:szCs w:val="32"/>
        </w:rPr>
        <w:t>附件：</w:t>
      </w:r>
    </w:p>
    <w:p w:rsidR="00F54147" w:rsidRPr="00FE2D40" w:rsidRDefault="00F54147" w:rsidP="00F54147">
      <w:pPr>
        <w:jc w:val="center"/>
        <w:rPr>
          <w:rFonts w:ascii="宋体" w:eastAsia="宋体" w:hAnsi="宋体"/>
          <w:b/>
          <w:snapToGrid w:val="0"/>
          <w:sz w:val="44"/>
          <w:szCs w:val="44"/>
        </w:rPr>
      </w:pPr>
      <w:r w:rsidRPr="00FE2D40">
        <w:rPr>
          <w:rFonts w:ascii="宋体" w:eastAsia="宋体" w:hAnsi="宋体" w:hint="eastAsia"/>
          <w:b/>
          <w:snapToGrid w:val="0"/>
          <w:sz w:val="44"/>
          <w:szCs w:val="44"/>
        </w:rPr>
        <w:t>202</w:t>
      </w:r>
      <w:r w:rsidRPr="00FE2D40">
        <w:rPr>
          <w:rFonts w:ascii="宋体" w:eastAsia="宋体" w:hAnsi="宋体"/>
          <w:b/>
          <w:snapToGrid w:val="0"/>
          <w:sz w:val="44"/>
          <w:szCs w:val="44"/>
        </w:rPr>
        <w:t>6</w:t>
      </w:r>
      <w:r w:rsidRPr="00FE2D40">
        <w:rPr>
          <w:rFonts w:ascii="宋体" w:eastAsia="宋体" w:hAnsi="宋体" w:hint="eastAsia"/>
          <w:b/>
          <w:snapToGrid w:val="0"/>
          <w:sz w:val="44"/>
          <w:szCs w:val="44"/>
        </w:rPr>
        <w:t>年广东省医院药学研究基金——</w:t>
      </w:r>
    </w:p>
    <w:p w:rsidR="00F54147" w:rsidRDefault="00F54147" w:rsidP="00F54147">
      <w:pPr>
        <w:jc w:val="center"/>
        <w:rPr>
          <w:rFonts w:ascii="宋体" w:eastAsia="宋体" w:hAnsi="宋体"/>
          <w:b/>
          <w:snapToGrid w:val="0"/>
          <w:sz w:val="44"/>
          <w:szCs w:val="44"/>
        </w:rPr>
      </w:pPr>
      <w:r>
        <w:rPr>
          <w:rFonts w:ascii="宋体" w:eastAsia="宋体" w:hAnsi="宋体" w:hint="eastAsia"/>
          <w:b/>
          <w:snapToGrid w:val="0"/>
          <w:sz w:val="44"/>
          <w:szCs w:val="44"/>
        </w:rPr>
        <w:t>广东省</w:t>
      </w:r>
      <w:r w:rsidRPr="00FE2D40">
        <w:rPr>
          <w:rFonts w:ascii="宋体" w:eastAsia="宋体" w:hAnsi="宋体" w:hint="eastAsia"/>
          <w:b/>
          <w:snapToGrid w:val="0"/>
          <w:sz w:val="44"/>
          <w:szCs w:val="44"/>
        </w:rPr>
        <w:t>紧密型医联体药学服务建设项目</w:t>
      </w:r>
    </w:p>
    <w:p w:rsidR="00F54147" w:rsidRPr="00F54147" w:rsidRDefault="00F54147" w:rsidP="00F54147">
      <w:pPr>
        <w:jc w:val="center"/>
        <w:rPr>
          <w:rFonts w:ascii="宋体" w:eastAsia="宋体" w:hAnsi="宋体"/>
          <w:b/>
          <w:snapToGrid w:val="0"/>
          <w:sz w:val="44"/>
          <w:szCs w:val="44"/>
        </w:rPr>
      </w:pPr>
      <w:r w:rsidRPr="00FE2D40">
        <w:rPr>
          <w:rFonts w:ascii="宋体" w:eastAsia="宋体" w:hAnsi="宋体" w:hint="eastAsia"/>
          <w:b/>
          <w:snapToGrid w:val="0"/>
          <w:sz w:val="44"/>
          <w:szCs w:val="44"/>
        </w:rPr>
        <w:t>工作方案</w:t>
      </w:r>
    </w:p>
    <w:p w:rsidR="00F54147" w:rsidRDefault="00F54147" w:rsidP="00F54147">
      <w:pPr>
        <w:spacing w:line="276" w:lineRule="auto"/>
        <w:ind w:firstLineChars="200" w:firstLine="640"/>
        <w:rPr>
          <w:rFonts w:ascii="仿宋" w:eastAsia="仿宋" w:hAnsi="仿宋"/>
          <w:snapToGrid w:val="0"/>
          <w:sz w:val="32"/>
          <w:szCs w:val="32"/>
        </w:rPr>
      </w:pP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一、宗旨</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为促进医联体</w:t>
      </w:r>
      <w:bookmarkStart w:id="0" w:name="_GoBack"/>
      <w:bookmarkEnd w:id="0"/>
      <w:r>
        <w:rPr>
          <w:rFonts w:ascii="仿宋" w:eastAsia="仿宋" w:hAnsi="仿宋" w:hint="eastAsia"/>
          <w:snapToGrid w:val="0"/>
          <w:sz w:val="32"/>
          <w:szCs w:val="32"/>
        </w:rPr>
        <w:t>药学服务创新发展，现设立广东省紧密型医联体药学服务建设项目。本方案旨在规范项目管理，确保各项建设工作有序推进。</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二、委员会组成</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广东省医院药学研究基金评审委员会（以下简称“评委会”）</w:t>
      </w:r>
      <w:r>
        <w:rPr>
          <w:rFonts w:ascii="仿宋" w:eastAsia="仿宋" w:hAnsi="仿宋"/>
          <w:snapToGrid w:val="0"/>
          <w:sz w:val="32"/>
          <w:szCs w:val="32"/>
        </w:rPr>
        <w:t xml:space="preserve"> </w:t>
      </w:r>
      <w:r>
        <w:rPr>
          <w:rFonts w:ascii="仿宋" w:eastAsia="仿宋" w:hAnsi="仿宋" w:hint="eastAsia"/>
          <w:snapToGrid w:val="0"/>
          <w:sz w:val="32"/>
          <w:szCs w:val="32"/>
        </w:rPr>
        <w:t>由广东省药学会相关专业委员会成员及三甲医院临床或药学专家等具有高级技术职称的人员组成。</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三、基金申报运行流程</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（一）项目方向</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项目拟资助以下研究方向，申报人可根据实际情况，选择符合方向的课题进行申报：</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snapToGrid w:val="0"/>
          <w:sz w:val="32"/>
          <w:szCs w:val="32"/>
        </w:rPr>
        <w:t xml:space="preserve">1. </w:t>
      </w:r>
      <w:r>
        <w:rPr>
          <w:rFonts w:ascii="仿宋" w:eastAsia="仿宋" w:hAnsi="仿宋" w:hint="eastAsia"/>
          <w:snapToGrid w:val="0"/>
          <w:sz w:val="32"/>
          <w:szCs w:val="32"/>
        </w:rPr>
        <w:t>集中（云）审方中心建设</w:t>
      </w:r>
      <w:r>
        <w:rPr>
          <w:rFonts w:ascii="仿宋" w:eastAsia="仿宋" w:hAnsi="仿宋"/>
          <w:snapToGrid w:val="0"/>
          <w:sz w:val="32"/>
          <w:szCs w:val="32"/>
        </w:rPr>
        <w:t>;</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snapToGrid w:val="0"/>
          <w:sz w:val="32"/>
          <w:szCs w:val="32"/>
        </w:rPr>
        <w:t xml:space="preserve">2. </w:t>
      </w:r>
      <w:r>
        <w:rPr>
          <w:rFonts w:ascii="仿宋" w:eastAsia="仿宋" w:hAnsi="仿宋" w:hint="eastAsia"/>
          <w:snapToGrid w:val="0"/>
          <w:sz w:val="32"/>
          <w:szCs w:val="32"/>
        </w:rPr>
        <w:t>中心（云）药房建设。</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（二）项目</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本项目研究基金拟设立</w:t>
      </w:r>
      <w:r>
        <w:rPr>
          <w:rFonts w:ascii="仿宋" w:eastAsia="仿宋" w:hAnsi="仿宋"/>
          <w:snapToGrid w:val="0"/>
          <w:sz w:val="32"/>
          <w:szCs w:val="32"/>
        </w:rPr>
        <w:t>20</w:t>
      </w:r>
      <w:r>
        <w:rPr>
          <w:rFonts w:ascii="仿宋" w:eastAsia="仿宋" w:hAnsi="仿宋" w:hint="eastAsia"/>
          <w:snapToGrid w:val="0"/>
          <w:sz w:val="32"/>
          <w:szCs w:val="32"/>
        </w:rPr>
        <w:t>项，每项资助</w:t>
      </w:r>
      <w:r>
        <w:rPr>
          <w:rFonts w:ascii="仿宋" w:eastAsia="仿宋" w:hAnsi="仿宋"/>
          <w:snapToGrid w:val="0"/>
          <w:sz w:val="32"/>
          <w:szCs w:val="32"/>
        </w:rPr>
        <w:t>1</w:t>
      </w:r>
      <w:r>
        <w:rPr>
          <w:rFonts w:ascii="仿宋" w:eastAsia="仿宋" w:hAnsi="仿宋" w:hint="eastAsia"/>
          <w:snapToGrid w:val="0"/>
          <w:sz w:val="32"/>
          <w:szCs w:val="32"/>
        </w:rPr>
        <w:t>万元。所有项目的资助周期为</w:t>
      </w:r>
      <w:r>
        <w:rPr>
          <w:rFonts w:ascii="仿宋" w:eastAsia="仿宋" w:hAnsi="仿宋"/>
          <w:snapToGrid w:val="0"/>
          <w:sz w:val="32"/>
          <w:szCs w:val="32"/>
        </w:rPr>
        <w:t>1</w:t>
      </w:r>
      <w:r>
        <w:rPr>
          <w:rFonts w:ascii="仿宋" w:eastAsia="仿宋" w:hAnsi="仿宋" w:hint="eastAsia"/>
          <w:snapToGrid w:val="0"/>
          <w:sz w:val="32"/>
          <w:szCs w:val="32"/>
        </w:rPr>
        <w:t>年（</w:t>
      </w:r>
      <w:r>
        <w:rPr>
          <w:rFonts w:ascii="仿宋" w:eastAsia="仿宋" w:hAnsi="仿宋"/>
          <w:snapToGrid w:val="0"/>
          <w:sz w:val="32"/>
          <w:szCs w:val="32"/>
        </w:rPr>
        <w:t>2026</w:t>
      </w:r>
      <w:r>
        <w:rPr>
          <w:rFonts w:ascii="仿宋" w:eastAsia="仿宋" w:hAnsi="仿宋" w:hint="eastAsia"/>
          <w:snapToGrid w:val="0"/>
          <w:sz w:val="32"/>
          <w:szCs w:val="32"/>
        </w:rPr>
        <w:t>年</w:t>
      </w:r>
      <w:r>
        <w:rPr>
          <w:rFonts w:ascii="仿宋" w:eastAsia="仿宋" w:hAnsi="仿宋"/>
          <w:snapToGrid w:val="0"/>
          <w:sz w:val="32"/>
          <w:szCs w:val="32"/>
        </w:rPr>
        <w:t>7</w:t>
      </w:r>
      <w:r>
        <w:rPr>
          <w:rFonts w:ascii="仿宋" w:eastAsia="仿宋" w:hAnsi="仿宋" w:hint="eastAsia"/>
          <w:snapToGrid w:val="0"/>
          <w:sz w:val="32"/>
          <w:szCs w:val="32"/>
        </w:rPr>
        <w:t>月</w:t>
      </w:r>
      <w:r>
        <w:rPr>
          <w:rFonts w:ascii="仿宋" w:eastAsia="仿宋" w:hAnsi="仿宋"/>
          <w:snapToGrid w:val="0"/>
          <w:sz w:val="32"/>
          <w:szCs w:val="32"/>
        </w:rPr>
        <w:t>1</w:t>
      </w:r>
      <w:r>
        <w:rPr>
          <w:rFonts w:ascii="仿宋" w:eastAsia="仿宋" w:hAnsi="仿宋" w:hint="eastAsia"/>
          <w:snapToGrid w:val="0"/>
          <w:sz w:val="32"/>
          <w:szCs w:val="32"/>
        </w:rPr>
        <w:t>日至</w:t>
      </w:r>
      <w:r>
        <w:rPr>
          <w:rFonts w:ascii="仿宋" w:eastAsia="仿宋" w:hAnsi="仿宋"/>
          <w:snapToGrid w:val="0"/>
          <w:sz w:val="32"/>
          <w:szCs w:val="32"/>
        </w:rPr>
        <w:t>2027</w:t>
      </w:r>
      <w:r>
        <w:rPr>
          <w:rFonts w:ascii="仿宋" w:eastAsia="仿宋" w:hAnsi="仿宋" w:hint="eastAsia"/>
          <w:snapToGrid w:val="0"/>
          <w:sz w:val="32"/>
          <w:szCs w:val="32"/>
        </w:rPr>
        <w:t>年</w:t>
      </w:r>
      <w:r>
        <w:rPr>
          <w:rFonts w:ascii="仿宋" w:eastAsia="仿宋" w:hAnsi="仿宋"/>
          <w:snapToGrid w:val="0"/>
          <w:sz w:val="32"/>
          <w:szCs w:val="32"/>
        </w:rPr>
        <w:t>6</w:t>
      </w:r>
      <w:r>
        <w:rPr>
          <w:rFonts w:ascii="仿宋" w:eastAsia="仿宋" w:hAnsi="仿宋" w:hint="eastAsia"/>
          <w:snapToGrid w:val="0"/>
          <w:sz w:val="32"/>
          <w:szCs w:val="32"/>
        </w:rPr>
        <w:t>月</w:t>
      </w:r>
      <w:r>
        <w:rPr>
          <w:rFonts w:ascii="仿宋" w:eastAsia="仿宋" w:hAnsi="仿宋"/>
          <w:snapToGrid w:val="0"/>
          <w:sz w:val="32"/>
          <w:szCs w:val="32"/>
        </w:rPr>
        <w:t>30</w:t>
      </w:r>
      <w:r>
        <w:rPr>
          <w:rFonts w:ascii="仿宋" w:eastAsia="仿宋" w:hAnsi="仿宋" w:hint="eastAsia"/>
          <w:snapToGrid w:val="0"/>
          <w:sz w:val="32"/>
          <w:szCs w:val="32"/>
        </w:rPr>
        <w:t>日）。如确需</w:t>
      </w:r>
      <w:r>
        <w:rPr>
          <w:rFonts w:ascii="仿宋" w:eastAsia="仿宋" w:hAnsi="仿宋" w:hint="eastAsia"/>
          <w:snapToGrid w:val="0"/>
          <w:sz w:val="32"/>
          <w:szCs w:val="32"/>
        </w:rPr>
        <w:lastRenderedPageBreak/>
        <w:t>要可延期</w:t>
      </w:r>
      <w:r>
        <w:rPr>
          <w:rFonts w:ascii="仿宋" w:eastAsia="仿宋" w:hAnsi="仿宋"/>
          <w:snapToGrid w:val="0"/>
          <w:sz w:val="32"/>
          <w:szCs w:val="32"/>
        </w:rPr>
        <w:t>1</w:t>
      </w:r>
      <w:r>
        <w:rPr>
          <w:rFonts w:ascii="仿宋" w:eastAsia="仿宋" w:hAnsi="仿宋" w:hint="eastAsia"/>
          <w:snapToGrid w:val="0"/>
          <w:sz w:val="32"/>
          <w:szCs w:val="32"/>
        </w:rPr>
        <w:t>年，但需提交延期报告并不得参与当年广东省药学会基金申报，格式参照结题报告书。</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（三）申报资助对象</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本项目面向广东省内建设成效显著的紧密型医联体（涵盖紧密型县域医共体及紧密型城市医疗集团）。申请须以医联体牵头医院作为申报主体，每个医联体限报</w:t>
      </w:r>
      <w:r>
        <w:rPr>
          <w:rFonts w:ascii="仿宋" w:eastAsia="仿宋" w:hAnsi="仿宋"/>
          <w:snapToGrid w:val="0"/>
          <w:sz w:val="32"/>
          <w:szCs w:val="32"/>
        </w:rPr>
        <w:t>1</w:t>
      </w:r>
      <w:r>
        <w:rPr>
          <w:rFonts w:ascii="仿宋" w:eastAsia="仿宋" w:hAnsi="仿宋" w:hint="eastAsia"/>
          <w:snapToGrid w:val="0"/>
          <w:sz w:val="32"/>
          <w:szCs w:val="32"/>
        </w:rPr>
        <w:t>项。申请人作为项目实施的第一责任人，需同时具备以下条件：</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w:t>
      </w:r>
      <w:r>
        <w:rPr>
          <w:rFonts w:ascii="仿宋" w:eastAsia="仿宋" w:hAnsi="仿宋"/>
          <w:snapToGrid w:val="0"/>
          <w:sz w:val="32"/>
          <w:szCs w:val="32"/>
        </w:rPr>
        <w:t>1</w:t>
      </w:r>
      <w:r>
        <w:rPr>
          <w:rFonts w:ascii="仿宋" w:eastAsia="仿宋" w:hAnsi="仿宋" w:hint="eastAsia"/>
          <w:snapToGrid w:val="0"/>
          <w:sz w:val="32"/>
          <w:szCs w:val="32"/>
        </w:rPr>
        <w:t>）岗位要求：须为医联体牵头医院药学部门负责人，经辖区内卫生健康行政部门正式聘任（或经备案）的总药师优先；</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w:t>
      </w:r>
      <w:r>
        <w:rPr>
          <w:rFonts w:ascii="仿宋" w:eastAsia="仿宋" w:hAnsi="仿宋"/>
          <w:snapToGrid w:val="0"/>
          <w:sz w:val="32"/>
          <w:szCs w:val="32"/>
        </w:rPr>
        <w:t>2</w:t>
      </w:r>
      <w:r>
        <w:rPr>
          <w:rFonts w:ascii="仿宋" w:eastAsia="仿宋" w:hAnsi="仿宋" w:hint="eastAsia"/>
          <w:snapToGrid w:val="0"/>
          <w:sz w:val="32"/>
          <w:szCs w:val="32"/>
        </w:rPr>
        <w:t>）职业保障：须为广东省内医疗机构全职在岗人员，具备较强的组织协调能力，能确保投入充足的时间与精力负责项目整体规划与建设的落地实施；</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（3）没有在广东省药学会资助的在研项目，由所在单位确定。</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（四）具体流程</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snapToGrid w:val="0"/>
          <w:sz w:val="32"/>
          <w:szCs w:val="32"/>
        </w:rPr>
        <w:t>1.</w:t>
      </w:r>
      <w:r>
        <w:rPr>
          <w:rFonts w:ascii="仿宋" w:eastAsia="仿宋" w:hAnsi="仿宋" w:hint="eastAsia"/>
          <w:snapToGrid w:val="0"/>
          <w:sz w:val="32"/>
          <w:szCs w:val="32"/>
        </w:rPr>
        <w:t>流程：</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药学会发项目申报通知到各医院药学部门→医院药学部门向药学会提供科研方案→评委会评审方案的合理性，选出立项项目→立项单位签订立项合同书→药学会将经费转入立项单位→项目研究→向药学会交结题报告→评审→通过评审的结题报告由药学会备案。</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snapToGrid w:val="0"/>
          <w:sz w:val="32"/>
          <w:szCs w:val="32"/>
        </w:rPr>
        <w:t>2.</w:t>
      </w:r>
      <w:r>
        <w:rPr>
          <w:rFonts w:ascii="仿宋" w:eastAsia="仿宋" w:hAnsi="仿宋" w:hint="eastAsia"/>
          <w:snapToGrid w:val="0"/>
          <w:sz w:val="32"/>
          <w:szCs w:val="32"/>
        </w:rPr>
        <w:t>进度要求</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w:t>
      </w:r>
      <w:r>
        <w:rPr>
          <w:rFonts w:ascii="仿宋" w:eastAsia="仿宋" w:hAnsi="仿宋"/>
          <w:snapToGrid w:val="0"/>
          <w:sz w:val="32"/>
          <w:szCs w:val="32"/>
        </w:rPr>
        <w:t>1</w:t>
      </w:r>
      <w:r>
        <w:rPr>
          <w:rFonts w:ascii="仿宋" w:eastAsia="仿宋" w:hAnsi="仿宋" w:hint="eastAsia"/>
          <w:snapToGrid w:val="0"/>
          <w:sz w:val="32"/>
          <w:szCs w:val="32"/>
        </w:rPr>
        <w:t>）中期报告：项目负责人须在</w:t>
      </w:r>
      <w:r>
        <w:rPr>
          <w:rFonts w:ascii="仿宋" w:eastAsia="仿宋" w:hAnsi="仿宋"/>
          <w:snapToGrid w:val="0"/>
          <w:sz w:val="32"/>
          <w:szCs w:val="32"/>
        </w:rPr>
        <w:t>2026</w:t>
      </w:r>
      <w:r>
        <w:rPr>
          <w:rFonts w:ascii="仿宋" w:eastAsia="仿宋" w:hAnsi="仿宋" w:hint="eastAsia"/>
          <w:snapToGrid w:val="0"/>
          <w:sz w:val="32"/>
          <w:szCs w:val="32"/>
        </w:rPr>
        <w:t>年</w:t>
      </w:r>
      <w:r>
        <w:rPr>
          <w:rFonts w:ascii="仿宋" w:eastAsia="仿宋" w:hAnsi="仿宋"/>
          <w:snapToGrid w:val="0"/>
          <w:sz w:val="32"/>
          <w:szCs w:val="32"/>
        </w:rPr>
        <w:t>12</w:t>
      </w:r>
      <w:r>
        <w:rPr>
          <w:rFonts w:ascii="仿宋" w:eastAsia="仿宋" w:hAnsi="仿宋" w:hint="eastAsia"/>
          <w:snapToGrid w:val="0"/>
          <w:sz w:val="32"/>
          <w:szCs w:val="32"/>
        </w:rPr>
        <w:t>月</w:t>
      </w:r>
      <w:r>
        <w:rPr>
          <w:rFonts w:ascii="仿宋" w:eastAsia="仿宋" w:hAnsi="仿宋"/>
          <w:snapToGrid w:val="0"/>
          <w:sz w:val="32"/>
          <w:szCs w:val="32"/>
        </w:rPr>
        <w:t>31</w:t>
      </w:r>
      <w:r>
        <w:rPr>
          <w:rFonts w:ascii="仿宋" w:eastAsia="仿宋" w:hAnsi="仿宋" w:hint="eastAsia"/>
          <w:snapToGrid w:val="0"/>
          <w:sz w:val="32"/>
          <w:szCs w:val="32"/>
        </w:rPr>
        <w:t>日前，按</w:t>
      </w:r>
      <w:r>
        <w:rPr>
          <w:rFonts w:ascii="仿宋" w:eastAsia="仿宋" w:hAnsi="仿宋" w:hint="eastAsia"/>
          <w:snapToGrid w:val="0"/>
          <w:sz w:val="32"/>
          <w:szCs w:val="32"/>
        </w:rPr>
        <w:lastRenderedPageBreak/>
        <w:t>要求向评委会提交详细的中期报告及相关佐证材料。</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w:t>
      </w:r>
      <w:r>
        <w:rPr>
          <w:rFonts w:ascii="仿宋" w:eastAsia="仿宋" w:hAnsi="仿宋"/>
          <w:snapToGrid w:val="0"/>
          <w:sz w:val="32"/>
          <w:szCs w:val="32"/>
        </w:rPr>
        <w:t>2</w:t>
      </w:r>
      <w:r>
        <w:rPr>
          <w:rFonts w:ascii="仿宋" w:eastAsia="仿宋" w:hAnsi="仿宋" w:hint="eastAsia"/>
          <w:snapToGrid w:val="0"/>
          <w:sz w:val="32"/>
          <w:szCs w:val="32"/>
        </w:rPr>
        <w:t>）结题验收：项目负责人须在</w:t>
      </w:r>
      <w:r>
        <w:rPr>
          <w:rFonts w:ascii="仿宋" w:eastAsia="仿宋" w:hAnsi="仿宋"/>
          <w:snapToGrid w:val="0"/>
          <w:sz w:val="32"/>
          <w:szCs w:val="32"/>
        </w:rPr>
        <w:t>2027</w:t>
      </w:r>
      <w:r>
        <w:rPr>
          <w:rFonts w:ascii="仿宋" w:eastAsia="仿宋" w:hAnsi="仿宋" w:hint="eastAsia"/>
          <w:snapToGrid w:val="0"/>
          <w:sz w:val="32"/>
          <w:szCs w:val="32"/>
        </w:rPr>
        <w:t>年</w:t>
      </w:r>
      <w:r>
        <w:rPr>
          <w:rFonts w:ascii="仿宋" w:eastAsia="仿宋" w:hAnsi="仿宋"/>
          <w:snapToGrid w:val="0"/>
          <w:sz w:val="32"/>
          <w:szCs w:val="32"/>
        </w:rPr>
        <w:t>6</w:t>
      </w:r>
      <w:r>
        <w:rPr>
          <w:rFonts w:ascii="仿宋" w:eastAsia="仿宋" w:hAnsi="仿宋" w:hint="eastAsia"/>
          <w:snapToGrid w:val="0"/>
          <w:sz w:val="32"/>
          <w:szCs w:val="32"/>
        </w:rPr>
        <w:t>月</w:t>
      </w:r>
      <w:r>
        <w:rPr>
          <w:rFonts w:ascii="仿宋" w:eastAsia="仿宋" w:hAnsi="仿宋"/>
          <w:snapToGrid w:val="0"/>
          <w:sz w:val="32"/>
          <w:szCs w:val="32"/>
        </w:rPr>
        <w:t>30</w:t>
      </w:r>
      <w:r>
        <w:rPr>
          <w:rFonts w:ascii="仿宋" w:eastAsia="仿宋" w:hAnsi="仿宋" w:hint="eastAsia"/>
          <w:snapToGrid w:val="0"/>
          <w:sz w:val="32"/>
          <w:szCs w:val="32"/>
        </w:rPr>
        <w:t>日前，按要求向评委会提交详细的结题报告与单位财务部门出具的经费使用清单，由评委会负责评审。评审通过后的项目结题报告应交本会备案。凡未提交项目结题报告或其内容不真实的，本会保留追究责任。</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（五）项目申请</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申请书须经申请者单位同意并签盖公章。评委会评选出</w:t>
      </w:r>
      <w:r>
        <w:rPr>
          <w:rFonts w:ascii="仿宋" w:eastAsia="仿宋" w:hAnsi="仿宋"/>
          <w:snapToGrid w:val="0"/>
          <w:sz w:val="32"/>
          <w:szCs w:val="32"/>
        </w:rPr>
        <w:t>20</w:t>
      </w:r>
      <w:r>
        <w:rPr>
          <w:rFonts w:ascii="仿宋" w:eastAsia="仿宋" w:hAnsi="仿宋" w:hint="eastAsia"/>
          <w:snapToGrid w:val="0"/>
          <w:sz w:val="32"/>
          <w:szCs w:val="32"/>
        </w:rPr>
        <w:t>个项目并确定资助金额，立项单位须在名单公布后</w:t>
      </w:r>
      <w:r>
        <w:rPr>
          <w:rFonts w:ascii="仿宋" w:eastAsia="仿宋" w:hAnsi="仿宋"/>
          <w:snapToGrid w:val="0"/>
          <w:sz w:val="32"/>
          <w:szCs w:val="32"/>
        </w:rPr>
        <w:t>15</w:t>
      </w:r>
      <w:r>
        <w:rPr>
          <w:rFonts w:ascii="仿宋" w:eastAsia="仿宋" w:hAnsi="仿宋" w:hint="eastAsia"/>
          <w:snapToGrid w:val="0"/>
          <w:sz w:val="32"/>
          <w:szCs w:val="32"/>
        </w:rPr>
        <w:t>个工作日内与本会签订《广东省医院药学研究基金立项合同书》。</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（六）科研经费</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项目立项后，广东省药学会将项目经费转入立项单位。根据国家财务审计政策，立项单位在收取科研基金后，须在</w:t>
      </w:r>
      <w:r>
        <w:rPr>
          <w:rFonts w:ascii="仿宋" w:eastAsia="仿宋" w:hAnsi="仿宋"/>
          <w:snapToGrid w:val="0"/>
          <w:sz w:val="32"/>
          <w:szCs w:val="32"/>
        </w:rPr>
        <w:t>15</w:t>
      </w:r>
      <w:r>
        <w:rPr>
          <w:rFonts w:ascii="仿宋" w:eastAsia="仿宋" w:hAnsi="仿宋" w:hint="eastAsia"/>
          <w:snapToGrid w:val="0"/>
          <w:sz w:val="32"/>
          <w:szCs w:val="32"/>
        </w:rPr>
        <w:t>个工作日内提供税务发票。由立项单位监督管理经费的使用，保证专款专用。</w:t>
      </w:r>
    </w:p>
    <w:p w:rsidR="00F54147" w:rsidRDefault="00F54147" w:rsidP="00F54147">
      <w:pPr>
        <w:spacing w:line="276" w:lineRule="auto"/>
        <w:ind w:firstLineChars="200" w:firstLine="640"/>
        <w:rPr>
          <w:rFonts w:ascii="仿宋" w:eastAsia="仿宋" w:hAnsi="仿宋"/>
          <w:snapToGrid w:val="0"/>
          <w:sz w:val="32"/>
          <w:szCs w:val="32"/>
        </w:rPr>
      </w:pPr>
      <w:r>
        <w:rPr>
          <w:rFonts w:ascii="仿宋" w:eastAsia="仿宋" w:hAnsi="仿宋" w:hint="eastAsia"/>
          <w:snapToGrid w:val="0"/>
          <w:sz w:val="32"/>
          <w:szCs w:val="32"/>
        </w:rPr>
        <w:t>（七）</w:t>
      </w:r>
      <w:r>
        <w:rPr>
          <w:rFonts w:ascii="仿宋" w:eastAsia="仿宋" w:hAnsi="仿宋"/>
          <w:snapToGrid w:val="0"/>
          <w:sz w:val="32"/>
          <w:szCs w:val="32"/>
        </w:rPr>
        <w:t xml:space="preserve"> </w:t>
      </w:r>
      <w:r>
        <w:rPr>
          <w:rFonts w:ascii="仿宋" w:eastAsia="仿宋" w:hAnsi="仿宋" w:hint="eastAsia"/>
          <w:snapToGrid w:val="0"/>
          <w:sz w:val="32"/>
          <w:szCs w:val="32"/>
        </w:rPr>
        <w:t>知识产权</w:t>
      </w:r>
    </w:p>
    <w:p w:rsidR="00F54147" w:rsidRDefault="00F54147" w:rsidP="00F54147">
      <w:pPr>
        <w:rPr>
          <w:rFonts w:ascii="仿宋" w:eastAsia="仿宋" w:hAnsi="仿宋"/>
          <w:sz w:val="32"/>
          <w:szCs w:val="32"/>
        </w:rPr>
      </w:pPr>
      <w:r>
        <w:rPr>
          <w:rFonts w:ascii="仿宋" w:eastAsia="仿宋" w:hAnsi="仿宋" w:hint="eastAsia"/>
          <w:snapToGrid w:val="0"/>
          <w:sz w:val="32"/>
          <w:szCs w:val="32"/>
        </w:rPr>
        <w:t>科研项目成果的知识产权属于研究者所有，但支持单位可以在其资料中无偿引用该研究成果。</w:t>
      </w:r>
    </w:p>
    <w:p w:rsidR="001D064B" w:rsidRPr="00F54147" w:rsidRDefault="001D064B"/>
    <w:sectPr w:rsidR="001D064B" w:rsidRPr="00F54147" w:rsidSect="002E2C84">
      <w:footerReference w:type="default" r:id="rId4"/>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D6" w:rsidRDefault="00F54147">
    <w:pPr>
      <w:pStyle w:val="a3"/>
      <w:jc w:val="center"/>
    </w:pPr>
  </w:p>
  <w:p w:rsidR="000A36D6" w:rsidRDefault="00F5414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60"/>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47"/>
    <w:rsid w:val="001D064B"/>
    <w:rsid w:val="00DC5EC7"/>
    <w:rsid w:val="00F5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2226-BAB6-454C-943C-138A1FBB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54147"/>
    <w:pPr>
      <w:tabs>
        <w:tab w:val="center" w:pos="4153"/>
        <w:tab w:val="right" w:pos="8306"/>
      </w:tabs>
      <w:snapToGrid w:val="0"/>
      <w:jc w:val="left"/>
    </w:pPr>
    <w:rPr>
      <w:sz w:val="18"/>
      <w:szCs w:val="18"/>
    </w:rPr>
  </w:style>
  <w:style w:type="character" w:customStyle="1" w:styleId="Char">
    <w:name w:val="页脚 Char"/>
    <w:basedOn w:val="a0"/>
    <w:link w:val="a3"/>
    <w:uiPriority w:val="99"/>
    <w:rsid w:val="00F54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1</cp:revision>
  <dcterms:created xsi:type="dcterms:W3CDTF">2026-05-22T01:56:00Z</dcterms:created>
  <dcterms:modified xsi:type="dcterms:W3CDTF">2026-05-22T01:56:00Z</dcterms:modified>
</cp:coreProperties>
</file>