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22" w:rsidRPr="00032B22" w:rsidRDefault="00032B22" w:rsidP="00032B22">
      <w:pPr>
        <w:spacing w:line="500" w:lineRule="exact"/>
        <w:rPr>
          <w:rFonts w:ascii="宋体" w:hAnsi="宋体"/>
          <w:snapToGrid w:val="0"/>
          <w:sz w:val="32"/>
          <w:szCs w:val="32"/>
          <w:lang w:eastAsia="zh-CN"/>
        </w:rPr>
      </w:pPr>
      <w:r w:rsidRPr="00032B22">
        <w:rPr>
          <w:rFonts w:asciiTheme="minorEastAsia" w:eastAsiaTheme="minorEastAsia" w:hAnsiTheme="minorEastAsia" w:hint="eastAsia"/>
          <w:snapToGrid w:val="0"/>
          <w:sz w:val="32"/>
          <w:szCs w:val="32"/>
          <w:lang w:eastAsia="zh-CN"/>
        </w:rPr>
        <w:t>附件1：</w:t>
      </w:r>
    </w:p>
    <w:p w:rsidR="00572DC4" w:rsidRDefault="00572DC4" w:rsidP="00572DC4">
      <w:pPr>
        <w:spacing w:line="500" w:lineRule="exact"/>
        <w:jc w:val="center"/>
        <w:rPr>
          <w:rFonts w:ascii="宋体" w:hAnsi="宋体"/>
          <w:b/>
          <w:snapToGrid w:val="0"/>
          <w:sz w:val="44"/>
          <w:szCs w:val="44"/>
          <w:lang w:eastAsia="zh-CN"/>
        </w:rPr>
      </w:pPr>
      <w:r>
        <w:rPr>
          <w:rFonts w:ascii="宋体" w:hAnsi="宋体" w:hint="eastAsia"/>
          <w:b/>
          <w:snapToGrid w:val="0"/>
          <w:sz w:val="44"/>
          <w:szCs w:val="44"/>
          <w:lang w:eastAsia="zh-CN"/>
        </w:rPr>
        <w:t>2026年广东省医院药学研究基金</w:t>
      </w:r>
      <w:r>
        <w:rPr>
          <w:rFonts w:ascii="宋体" w:hAnsi="宋体"/>
          <w:b/>
          <w:snapToGrid w:val="0"/>
          <w:sz w:val="44"/>
          <w:szCs w:val="44"/>
          <w:lang w:eastAsia="zh-CN"/>
        </w:rPr>
        <w:t>——</w:t>
      </w:r>
      <w:r w:rsidRPr="004F56B5">
        <w:rPr>
          <w:rFonts w:ascii="宋体" w:hAnsi="宋体" w:hint="eastAsia"/>
          <w:b/>
          <w:snapToGrid w:val="0"/>
          <w:sz w:val="44"/>
          <w:szCs w:val="44"/>
          <w:lang w:eastAsia="zh-CN"/>
        </w:rPr>
        <w:t>疼痛医药共管专项基金（泰德基金）工作方案</w:t>
      </w:r>
    </w:p>
    <w:p w:rsidR="00572DC4" w:rsidRPr="004F56B5" w:rsidRDefault="00572DC4" w:rsidP="00572DC4">
      <w:pPr>
        <w:spacing w:line="500" w:lineRule="exact"/>
        <w:jc w:val="center"/>
        <w:rPr>
          <w:rFonts w:ascii="仿宋" w:eastAsia="仿宋" w:hAnsi="仿宋"/>
          <w:sz w:val="32"/>
          <w:szCs w:val="32"/>
          <w:lang w:eastAsia="zh-CN"/>
        </w:rPr>
      </w:pPr>
    </w:p>
    <w:p w:rsidR="00572DC4" w:rsidRPr="004F56B5" w:rsidRDefault="00572DC4" w:rsidP="00572DC4">
      <w:pPr>
        <w:spacing w:line="276" w:lineRule="auto"/>
        <w:ind w:firstLineChars="200" w:firstLine="643"/>
        <w:rPr>
          <w:rFonts w:ascii="仿宋" w:eastAsia="仿宋" w:hAnsi="仿宋"/>
          <w:b/>
          <w:snapToGrid w:val="0"/>
          <w:sz w:val="32"/>
          <w:szCs w:val="32"/>
          <w:lang w:eastAsia="zh-CN"/>
        </w:rPr>
      </w:pPr>
      <w:r w:rsidRPr="004F56B5">
        <w:rPr>
          <w:rFonts w:ascii="仿宋" w:eastAsia="仿宋" w:hAnsi="仿宋" w:hint="eastAsia"/>
          <w:b/>
          <w:snapToGrid w:val="0"/>
          <w:sz w:val="32"/>
          <w:szCs w:val="32"/>
          <w:lang w:eastAsia="zh-CN"/>
        </w:rPr>
        <w:t>1. 宗旨</w:t>
      </w:r>
      <w:bookmarkStart w:id="0" w:name="_GoBack"/>
      <w:bookmarkEnd w:id="0"/>
    </w:p>
    <w:p w:rsidR="00572DC4" w:rsidRDefault="00572DC4" w:rsidP="00572DC4">
      <w:pPr>
        <w:spacing w:line="276" w:lineRule="auto"/>
        <w:ind w:firstLineChars="200" w:firstLine="640"/>
        <w:rPr>
          <w:rFonts w:ascii="仿宋" w:eastAsia="仿宋" w:hAnsi="仿宋"/>
          <w:sz w:val="32"/>
          <w:szCs w:val="32"/>
          <w:lang w:eastAsia="zh-CN"/>
        </w:rPr>
      </w:pPr>
      <w:r w:rsidRPr="004F56B5">
        <w:rPr>
          <w:rFonts w:ascii="仿宋" w:eastAsia="仿宋" w:hAnsi="仿宋" w:hint="eastAsia"/>
          <w:sz w:val="32"/>
          <w:szCs w:val="32"/>
          <w:lang w:eastAsia="zh-CN"/>
        </w:rPr>
        <w:t>广东省医院药学研究基金--疼痛医药共管专项基金（泰德基金）的宗旨为：推动广东省医院药学及相关领域科研的发展，为广大医院药师创造学术交流及科研机会，提高广东省医院合理用药学科建设，优化合理用药管理，降低治疗成本，推动医疗资源合理使用。</w:t>
      </w:r>
    </w:p>
    <w:p w:rsidR="00572DC4" w:rsidRPr="00F42FDE" w:rsidRDefault="00572DC4" w:rsidP="00572DC4">
      <w:pPr>
        <w:spacing w:line="276" w:lineRule="auto"/>
        <w:ind w:firstLineChars="200" w:firstLine="640"/>
        <w:rPr>
          <w:rFonts w:ascii="仿宋" w:eastAsia="仿宋" w:hAnsi="仿宋"/>
          <w:snapToGrid w:val="0"/>
          <w:sz w:val="32"/>
          <w:szCs w:val="32"/>
          <w:lang w:eastAsia="zh-CN"/>
        </w:rPr>
      </w:pPr>
    </w:p>
    <w:p w:rsidR="00572DC4" w:rsidRDefault="00572DC4" w:rsidP="00572DC4">
      <w:pPr>
        <w:spacing w:line="276" w:lineRule="auto"/>
        <w:ind w:firstLineChars="200" w:firstLine="643"/>
        <w:rPr>
          <w:rFonts w:ascii="仿宋" w:eastAsia="仿宋" w:hAnsi="仿宋"/>
          <w:b/>
          <w:snapToGrid w:val="0"/>
          <w:sz w:val="32"/>
          <w:szCs w:val="32"/>
          <w:lang w:eastAsia="zh-CN"/>
        </w:rPr>
      </w:pPr>
      <w:r>
        <w:rPr>
          <w:rFonts w:ascii="仿宋" w:eastAsia="仿宋" w:hAnsi="仿宋" w:hint="eastAsia"/>
          <w:b/>
          <w:snapToGrid w:val="0"/>
          <w:sz w:val="32"/>
          <w:szCs w:val="32"/>
          <w:lang w:eastAsia="zh-CN"/>
        </w:rPr>
        <w:t>2. 委员会组成</w:t>
      </w:r>
    </w:p>
    <w:p w:rsidR="00572DC4" w:rsidRPr="004F56B5" w:rsidRDefault="00572DC4" w:rsidP="00572DC4">
      <w:pPr>
        <w:spacing w:line="276" w:lineRule="auto"/>
        <w:ind w:firstLineChars="200" w:firstLine="640"/>
        <w:rPr>
          <w:rFonts w:ascii="仿宋" w:eastAsia="仿宋" w:hAnsi="仿宋"/>
          <w:b/>
          <w:snapToGrid w:val="0"/>
          <w:sz w:val="32"/>
          <w:szCs w:val="32"/>
          <w:lang w:eastAsia="zh-CN"/>
        </w:rPr>
      </w:pPr>
      <w:r>
        <w:rPr>
          <w:rFonts w:ascii="仿宋" w:eastAsia="仿宋" w:hAnsi="仿宋" w:hint="eastAsia"/>
          <w:snapToGrid w:val="0"/>
          <w:sz w:val="32"/>
          <w:szCs w:val="32"/>
          <w:lang w:eastAsia="zh-CN"/>
        </w:rPr>
        <w:t>广东省医院药学研究基金评审委员会（以下简称“评委会”）</w:t>
      </w:r>
      <w:r>
        <w:rPr>
          <w:rFonts w:hint="eastAsia"/>
          <w:lang w:eastAsia="zh-CN"/>
        </w:rPr>
        <w:t xml:space="preserve"> </w:t>
      </w:r>
      <w:r>
        <w:rPr>
          <w:rFonts w:ascii="仿宋" w:eastAsia="仿宋" w:hAnsi="仿宋" w:hint="eastAsia"/>
          <w:snapToGrid w:val="0"/>
          <w:sz w:val="32"/>
          <w:szCs w:val="32"/>
          <w:lang w:eastAsia="zh-CN"/>
        </w:rPr>
        <w:t>由广东省药学会相关专业委员会成员及三甲医院临床或药学专家等具有高级技术职称的人员组成。</w:t>
      </w:r>
    </w:p>
    <w:p w:rsidR="00572DC4" w:rsidRDefault="00572DC4" w:rsidP="00572DC4">
      <w:pPr>
        <w:spacing w:line="276" w:lineRule="auto"/>
        <w:ind w:firstLineChars="200" w:firstLine="640"/>
        <w:rPr>
          <w:rFonts w:ascii="仿宋" w:eastAsia="仿宋" w:hAnsi="仿宋"/>
          <w:snapToGrid w:val="0"/>
          <w:sz w:val="32"/>
          <w:szCs w:val="32"/>
          <w:lang w:eastAsia="zh-CN"/>
        </w:rPr>
      </w:pPr>
    </w:p>
    <w:p w:rsidR="00572DC4" w:rsidRDefault="00572DC4" w:rsidP="00572DC4">
      <w:pPr>
        <w:spacing w:line="276" w:lineRule="auto"/>
        <w:ind w:firstLineChars="200" w:firstLine="643"/>
        <w:rPr>
          <w:rFonts w:ascii="仿宋" w:eastAsia="仿宋" w:hAnsi="仿宋"/>
          <w:b/>
          <w:snapToGrid w:val="0"/>
          <w:sz w:val="32"/>
          <w:szCs w:val="32"/>
          <w:lang w:eastAsia="zh-CN"/>
        </w:rPr>
      </w:pPr>
      <w:r>
        <w:rPr>
          <w:rFonts w:ascii="仿宋" w:eastAsia="仿宋" w:hAnsi="仿宋" w:hint="eastAsia"/>
          <w:b/>
          <w:snapToGrid w:val="0"/>
          <w:sz w:val="32"/>
          <w:szCs w:val="32"/>
          <w:lang w:eastAsia="zh-CN"/>
        </w:rPr>
        <w:t>3．基金申报运行流程</w:t>
      </w:r>
    </w:p>
    <w:p w:rsidR="00572DC4" w:rsidRPr="00F42FDE" w:rsidRDefault="00572DC4" w:rsidP="00572DC4">
      <w:pPr>
        <w:spacing w:line="276" w:lineRule="auto"/>
        <w:ind w:firstLineChars="200" w:firstLine="640"/>
        <w:rPr>
          <w:rFonts w:ascii="仿宋" w:eastAsia="仿宋" w:hAnsi="仿宋" w:cs="仿宋"/>
          <w:spacing w:val="22"/>
          <w:sz w:val="31"/>
          <w:szCs w:val="31"/>
          <w:highlight w:val="yellow"/>
          <w:lang w:eastAsia="zh-CN"/>
        </w:rPr>
      </w:pPr>
      <w:r>
        <w:rPr>
          <w:rFonts w:ascii="仿宋" w:eastAsia="仿宋" w:hAnsi="仿宋" w:hint="eastAsia"/>
          <w:snapToGrid w:val="0"/>
          <w:sz w:val="32"/>
          <w:szCs w:val="32"/>
          <w:lang w:eastAsia="zh-CN"/>
        </w:rPr>
        <w:t>3.1  项目方向：</w:t>
      </w:r>
      <w:r w:rsidRPr="004F56B5">
        <w:rPr>
          <w:rFonts w:ascii="仿宋" w:eastAsia="仿宋" w:hAnsi="仿宋" w:hint="eastAsia"/>
          <w:snapToGrid w:val="0"/>
          <w:sz w:val="32"/>
          <w:szCs w:val="32"/>
          <w:lang w:eastAsia="zh-CN"/>
        </w:rPr>
        <w:t>疼痛相关用药管理。如：疼痛相关医药共管等，研究内容包括但不限于以下研究类型：有效性评价、安全性评估、专项研究、优化研究、经济评估、满意度调查等。</w:t>
      </w:r>
    </w:p>
    <w:p w:rsidR="00572DC4" w:rsidRDefault="00572DC4" w:rsidP="00572DC4">
      <w:pPr>
        <w:spacing w:line="276" w:lineRule="auto"/>
        <w:ind w:firstLineChars="200" w:firstLine="640"/>
        <w:rPr>
          <w:rFonts w:ascii="仿宋" w:eastAsia="仿宋" w:hAnsi="仿宋"/>
          <w:snapToGrid w:val="0"/>
          <w:sz w:val="32"/>
          <w:szCs w:val="32"/>
          <w:lang w:eastAsia="zh-CN"/>
        </w:rPr>
      </w:pPr>
      <w:r>
        <w:rPr>
          <w:rFonts w:ascii="仿宋" w:eastAsia="仿宋" w:hAnsi="仿宋" w:hint="eastAsia"/>
          <w:snapToGrid w:val="0"/>
          <w:sz w:val="32"/>
          <w:szCs w:val="32"/>
          <w:lang w:eastAsia="zh-CN"/>
        </w:rPr>
        <w:t>3.2  项目：18 个课题，其中资助经费</w:t>
      </w:r>
      <w:r>
        <w:rPr>
          <w:rFonts w:ascii="仿宋" w:eastAsia="仿宋" w:hAnsi="仿宋"/>
          <w:snapToGrid w:val="0"/>
          <w:sz w:val="32"/>
          <w:szCs w:val="32"/>
          <w:lang w:eastAsia="zh-CN"/>
        </w:rPr>
        <w:t>3</w:t>
      </w:r>
      <w:r>
        <w:rPr>
          <w:rFonts w:ascii="仿宋" w:eastAsia="仿宋" w:hAnsi="仿宋" w:hint="eastAsia"/>
          <w:snapToGrid w:val="0"/>
          <w:sz w:val="32"/>
          <w:szCs w:val="32"/>
          <w:lang w:eastAsia="zh-CN"/>
        </w:rPr>
        <w:t>万的3个、2万元的6个、1万元9个。由评委会评审决定。所有项目的资助周期为1年，如确需要可延期1年，但需提交延期报告，格式参照结题报告书。</w:t>
      </w:r>
    </w:p>
    <w:p w:rsidR="00572DC4" w:rsidRDefault="00572DC4" w:rsidP="00572DC4">
      <w:pPr>
        <w:spacing w:line="276" w:lineRule="auto"/>
        <w:ind w:firstLineChars="200" w:firstLine="640"/>
        <w:rPr>
          <w:rFonts w:ascii="仿宋" w:eastAsia="仿宋" w:hAnsi="仿宋"/>
          <w:snapToGrid w:val="0"/>
          <w:sz w:val="32"/>
          <w:szCs w:val="32"/>
          <w:lang w:eastAsia="zh-CN"/>
        </w:rPr>
      </w:pPr>
      <w:r>
        <w:rPr>
          <w:rFonts w:ascii="仿宋" w:eastAsia="仿宋" w:hAnsi="仿宋" w:hint="eastAsia"/>
          <w:snapToGrid w:val="0"/>
          <w:sz w:val="32"/>
          <w:szCs w:val="32"/>
          <w:lang w:eastAsia="zh-CN"/>
        </w:rPr>
        <w:t>3.3  具体流程：药学会发项目申报通知到各医院药学部门→医院药学部门向药学会提供科研方案→评委会评审方案的合理性，选出立项项目→立项单位签订立项合同书→药学会将经费转</w:t>
      </w:r>
      <w:r>
        <w:rPr>
          <w:rFonts w:ascii="仿宋" w:eastAsia="仿宋" w:hAnsi="仿宋" w:hint="eastAsia"/>
          <w:snapToGrid w:val="0"/>
          <w:sz w:val="32"/>
          <w:szCs w:val="32"/>
          <w:lang w:eastAsia="zh-CN"/>
        </w:rPr>
        <w:lastRenderedPageBreak/>
        <w:t>入立项单位→项目研究→向药学会交结题报告→通过评审的结题报告由药学会备案。</w:t>
      </w:r>
    </w:p>
    <w:p w:rsidR="00572DC4" w:rsidRDefault="00572DC4" w:rsidP="00572DC4">
      <w:pPr>
        <w:widowControl/>
        <w:spacing w:line="276" w:lineRule="auto"/>
        <w:ind w:firstLineChars="200" w:firstLine="640"/>
        <w:rPr>
          <w:rFonts w:ascii="仿宋" w:eastAsia="仿宋" w:hAnsi="仿宋"/>
          <w:snapToGrid w:val="0"/>
          <w:sz w:val="32"/>
          <w:szCs w:val="32"/>
          <w:lang w:eastAsia="zh-CN"/>
        </w:rPr>
      </w:pPr>
      <w:r>
        <w:rPr>
          <w:rFonts w:ascii="仿宋" w:eastAsia="仿宋" w:hAnsi="仿宋" w:hint="eastAsia"/>
          <w:snapToGrid w:val="0"/>
          <w:sz w:val="32"/>
          <w:szCs w:val="32"/>
          <w:lang w:eastAsia="zh-CN"/>
        </w:rPr>
        <w:t>3.4  项目申请：广东省行政区内二级及以上医院药学人员可向广东省药学会提出项目申请（每家医院限报1个项目），提交指定项目申请书，申请书须经申请者单位同意并签盖公章。评委会评选出个项目并确定资助金额，立项单位须</w:t>
      </w:r>
      <w:r>
        <w:rPr>
          <w:rFonts w:ascii="仿宋" w:eastAsia="仿宋" w:hAnsi="仿宋" w:hint="eastAsia"/>
          <w:sz w:val="32"/>
          <w:szCs w:val="32"/>
          <w:lang w:eastAsia="zh-CN"/>
        </w:rPr>
        <w:t>在名单公布后15</w:t>
      </w:r>
      <w:r w:rsidRPr="00362951">
        <w:rPr>
          <w:rFonts w:ascii="仿宋" w:eastAsia="仿宋" w:hAnsi="仿宋" w:hint="eastAsia"/>
          <w:spacing w:val="-4"/>
          <w:sz w:val="32"/>
          <w:szCs w:val="32"/>
          <w:lang w:eastAsia="zh-CN"/>
        </w:rPr>
        <w:t>个工作日内与本会签订《广东省医院药学研究基金立项合同书》</w:t>
      </w:r>
      <w:r w:rsidRPr="00362951">
        <w:rPr>
          <w:rFonts w:ascii="仿宋" w:eastAsia="仿宋" w:hAnsi="仿宋" w:hint="eastAsia"/>
          <w:snapToGrid w:val="0"/>
          <w:spacing w:val="-4"/>
          <w:sz w:val="32"/>
          <w:szCs w:val="32"/>
          <w:lang w:eastAsia="zh-CN"/>
        </w:rPr>
        <w:t>。</w:t>
      </w:r>
    </w:p>
    <w:p w:rsidR="00572DC4" w:rsidRDefault="00572DC4" w:rsidP="00572DC4">
      <w:pPr>
        <w:spacing w:line="276" w:lineRule="auto"/>
        <w:ind w:firstLineChars="200" w:firstLine="640"/>
        <w:rPr>
          <w:rFonts w:ascii="仿宋" w:eastAsia="仿宋" w:hAnsi="仿宋"/>
          <w:snapToGrid w:val="0"/>
          <w:sz w:val="32"/>
          <w:szCs w:val="32"/>
          <w:lang w:eastAsia="zh-CN"/>
        </w:rPr>
      </w:pPr>
      <w:r>
        <w:rPr>
          <w:rFonts w:ascii="仿宋" w:eastAsia="仿宋" w:hAnsi="仿宋" w:hint="eastAsia"/>
          <w:snapToGrid w:val="0"/>
          <w:sz w:val="32"/>
          <w:szCs w:val="32"/>
          <w:lang w:eastAsia="zh-CN"/>
        </w:rPr>
        <w:t>3.5  科研经费：项目立项后，广东省药学会将项目经费转入立项单位。</w:t>
      </w:r>
      <w:r>
        <w:rPr>
          <w:rFonts w:ascii="仿宋" w:eastAsia="仿宋" w:hAnsi="仿宋" w:hint="eastAsia"/>
          <w:b/>
          <w:snapToGrid w:val="0"/>
          <w:sz w:val="32"/>
          <w:szCs w:val="32"/>
          <w:lang w:eastAsia="zh-CN"/>
        </w:rPr>
        <w:t>根据国家财务审计政策，立项单位在收取科研基金后，须在15个工作日内提供税务发票。</w:t>
      </w:r>
      <w:r>
        <w:rPr>
          <w:rFonts w:ascii="仿宋" w:eastAsia="仿宋" w:hAnsi="仿宋" w:hint="eastAsia"/>
          <w:snapToGrid w:val="0"/>
          <w:sz w:val="32"/>
          <w:szCs w:val="32"/>
          <w:lang w:eastAsia="zh-CN"/>
        </w:rPr>
        <w:t>由立项单位监督管理经费的使用，保证专款专用。</w:t>
      </w:r>
    </w:p>
    <w:p w:rsidR="00572DC4" w:rsidRPr="00F42FDE" w:rsidRDefault="00572DC4" w:rsidP="00572DC4">
      <w:pPr>
        <w:spacing w:line="276" w:lineRule="auto"/>
        <w:ind w:firstLineChars="200" w:firstLine="640"/>
        <w:rPr>
          <w:rFonts w:ascii="仿宋" w:eastAsia="仿宋" w:hAnsi="仿宋"/>
          <w:b/>
          <w:snapToGrid w:val="0"/>
          <w:sz w:val="32"/>
          <w:szCs w:val="32"/>
          <w:lang w:eastAsia="zh-CN"/>
        </w:rPr>
      </w:pPr>
      <w:r>
        <w:rPr>
          <w:rFonts w:ascii="仿宋" w:eastAsia="仿宋" w:hAnsi="仿宋" w:hint="eastAsia"/>
          <w:snapToGrid w:val="0"/>
          <w:sz w:val="32"/>
          <w:szCs w:val="32"/>
          <w:lang w:eastAsia="zh-CN"/>
        </w:rPr>
        <w:t>3.6  结题：项目完成后，立项</w:t>
      </w:r>
      <w:r w:rsidR="004165EA">
        <w:rPr>
          <w:rFonts w:ascii="仿宋" w:eastAsia="仿宋" w:hAnsi="仿宋" w:hint="eastAsia"/>
          <w:snapToGrid w:val="0"/>
          <w:sz w:val="32"/>
          <w:szCs w:val="32"/>
          <w:lang w:eastAsia="zh-CN"/>
        </w:rPr>
        <w:t>单位应向评委会提交项目结题报告与单位财务部门出具的经费使用清单</w:t>
      </w:r>
      <w:r>
        <w:rPr>
          <w:rFonts w:ascii="仿宋" w:eastAsia="仿宋" w:hAnsi="仿宋" w:hint="eastAsia"/>
          <w:snapToGrid w:val="0"/>
          <w:sz w:val="32"/>
          <w:szCs w:val="32"/>
          <w:lang w:eastAsia="zh-CN"/>
        </w:rPr>
        <w:t>。评审通过后的项目结题报告应交本会备案。</w:t>
      </w:r>
      <w:r>
        <w:rPr>
          <w:rFonts w:ascii="仿宋" w:eastAsia="仿宋" w:hAnsi="仿宋" w:hint="eastAsia"/>
          <w:b/>
          <w:snapToGrid w:val="0"/>
          <w:sz w:val="32"/>
          <w:szCs w:val="32"/>
          <w:lang w:eastAsia="zh-CN"/>
        </w:rPr>
        <w:t>凡未提交项目结题报告或其内容不真实的，本会保留追究责任。</w:t>
      </w:r>
    </w:p>
    <w:p w:rsidR="00572DC4" w:rsidRDefault="00572DC4" w:rsidP="00572DC4">
      <w:pPr>
        <w:spacing w:line="276" w:lineRule="auto"/>
        <w:ind w:firstLineChars="200" w:firstLine="640"/>
        <w:rPr>
          <w:rFonts w:ascii="仿宋" w:eastAsia="仿宋" w:hAnsi="仿宋"/>
          <w:sz w:val="32"/>
          <w:szCs w:val="32"/>
          <w:lang w:eastAsia="zh-CN"/>
        </w:rPr>
      </w:pPr>
      <w:r>
        <w:rPr>
          <w:rFonts w:ascii="仿宋" w:eastAsia="仿宋" w:hAnsi="仿宋" w:hint="eastAsia"/>
          <w:snapToGrid w:val="0"/>
          <w:sz w:val="32"/>
          <w:szCs w:val="32"/>
          <w:lang w:eastAsia="zh-CN"/>
        </w:rPr>
        <w:t>3.</w:t>
      </w:r>
      <w:r>
        <w:rPr>
          <w:rFonts w:ascii="仿宋" w:eastAsia="仿宋" w:hAnsi="仿宋"/>
          <w:snapToGrid w:val="0"/>
          <w:sz w:val="32"/>
          <w:szCs w:val="32"/>
          <w:lang w:eastAsia="zh-CN"/>
        </w:rPr>
        <w:t>7</w:t>
      </w:r>
      <w:r>
        <w:rPr>
          <w:rFonts w:ascii="仿宋" w:eastAsia="仿宋" w:hAnsi="仿宋" w:hint="eastAsia"/>
          <w:snapToGrid w:val="0"/>
          <w:sz w:val="32"/>
          <w:szCs w:val="32"/>
          <w:lang w:eastAsia="zh-CN"/>
        </w:rPr>
        <w:t xml:space="preserve"> 知识产权：科研项目成果的知识产权属于研究者所有，但赞助单位可以在其资料中无偿引用该研究成果。</w:t>
      </w:r>
    </w:p>
    <w:p w:rsidR="001D064B" w:rsidRDefault="001D064B">
      <w:pPr>
        <w:rPr>
          <w:lang w:eastAsia="zh-CN"/>
        </w:rPr>
      </w:pPr>
    </w:p>
    <w:sectPr w:rsidR="001D064B" w:rsidSect="00DC5EC7">
      <w:pgSz w:w="11906" w:h="16838" w:code="9"/>
      <w:pgMar w:top="1440" w:right="1418" w:bottom="1440" w:left="1418" w:header="851" w:footer="0" w:gutter="0"/>
      <w:cols w:space="425"/>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67E" w:rsidRDefault="0099567E" w:rsidP="004165EA">
      <w:r>
        <w:separator/>
      </w:r>
    </w:p>
  </w:endnote>
  <w:endnote w:type="continuationSeparator" w:id="0">
    <w:p w:rsidR="0099567E" w:rsidRDefault="0099567E" w:rsidP="0041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67E" w:rsidRDefault="0099567E" w:rsidP="004165EA">
      <w:r>
        <w:separator/>
      </w:r>
    </w:p>
  </w:footnote>
  <w:footnote w:type="continuationSeparator" w:id="0">
    <w:p w:rsidR="0099567E" w:rsidRDefault="0099567E" w:rsidP="00416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60"/>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C4"/>
    <w:rsid w:val="00032B22"/>
    <w:rsid w:val="001A25D2"/>
    <w:rsid w:val="001D064B"/>
    <w:rsid w:val="00362951"/>
    <w:rsid w:val="004165EA"/>
    <w:rsid w:val="00572DC4"/>
    <w:rsid w:val="0099567E"/>
    <w:rsid w:val="00AC047F"/>
    <w:rsid w:val="00DC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E0E2E3-5ACA-4E49-BAF5-E3D407E9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DC4"/>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6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65EA"/>
    <w:rPr>
      <w:rFonts w:ascii="Times New Roman" w:eastAsia="Times New Roman" w:hAnsi="Times New Roman" w:cs="Times New Roman"/>
      <w:color w:val="000000"/>
      <w:kern w:val="0"/>
      <w:sz w:val="18"/>
      <w:szCs w:val="18"/>
      <w:lang w:eastAsia="en-US" w:bidi="en-US"/>
    </w:rPr>
  </w:style>
  <w:style w:type="paragraph" w:styleId="a4">
    <w:name w:val="footer"/>
    <w:basedOn w:val="a"/>
    <w:link w:val="Char0"/>
    <w:uiPriority w:val="99"/>
    <w:unhideWhenUsed/>
    <w:rsid w:val="004165EA"/>
    <w:pPr>
      <w:tabs>
        <w:tab w:val="center" w:pos="4153"/>
        <w:tab w:val="right" w:pos="8306"/>
      </w:tabs>
      <w:snapToGrid w:val="0"/>
    </w:pPr>
    <w:rPr>
      <w:sz w:val="18"/>
      <w:szCs w:val="18"/>
    </w:rPr>
  </w:style>
  <w:style w:type="character" w:customStyle="1" w:styleId="Char0">
    <w:name w:val="页脚 Char"/>
    <w:basedOn w:val="a0"/>
    <w:link w:val="a4"/>
    <w:uiPriority w:val="99"/>
    <w:rsid w:val="004165EA"/>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4</cp:revision>
  <dcterms:created xsi:type="dcterms:W3CDTF">2026-06-15T02:42:00Z</dcterms:created>
  <dcterms:modified xsi:type="dcterms:W3CDTF">2026-07-13T06:26:00Z</dcterms:modified>
</cp:coreProperties>
</file>