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B833A">
      <w:pPr>
        <w:pStyle w:val="4"/>
        <w:numPr>
          <w:numId w:val="0"/>
        </w:numPr>
        <w:spacing w:line="480" w:lineRule="exact"/>
        <w:ind w:left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学会</w:t>
      </w:r>
      <w:r>
        <w:rPr>
          <w:rFonts w:ascii="仿宋" w:hAnsi="仿宋" w:eastAsia="仿宋"/>
          <w:b/>
          <w:bCs/>
          <w:sz w:val="28"/>
          <w:szCs w:val="28"/>
        </w:rPr>
        <w:t>收费项目、</w:t>
      </w:r>
      <w:r>
        <w:rPr>
          <w:rFonts w:hint="eastAsia" w:ascii="仿宋" w:hAnsi="仿宋" w:eastAsia="仿宋"/>
          <w:b/>
          <w:bCs/>
          <w:sz w:val="28"/>
          <w:szCs w:val="28"/>
        </w:rPr>
        <w:t>对象、内容、</w:t>
      </w:r>
      <w:r>
        <w:rPr>
          <w:rFonts w:ascii="仿宋" w:hAnsi="仿宋" w:eastAsia="仿宋"/>
          <w:b/>
          <w:bCs/>
          <w:sz w:val="28"/>
          <w:szCs w:val="28"/>
        </w:rPr>
        <w:t>标准及对应收费依据</w:t>
      </w:r>
    </w:p>
    <w:tbl>
      <w:tblPr>
        <w:tblStyle w:val="2"/>
        <w:tblW w:w="952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782"/>
        <w:gridCol w:w="2319"/>
        <w:gridCol w:w="1243"/>
        <w:gridCol w:w="1610"/>
        <w:gridCol w:w="1191"/>
        <w:gridCol w:w="1922"/>
      </w:tblGrid>
      <w:tr w14:paraId="4CD7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8D3BC5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295932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事项类别</w:t>
            </w:r>
          </w:p>
        </w:tc>
        <w:tc>
          <w:tcPr>
            <w:tcW w:w="2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4C84C9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收费项目名称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BA15C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收费对象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24765E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收费内容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700A046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收费标准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5B7697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b/>
                <w:bCs/>
                <w:kern w:val="0"/>
                <w:sz w:val="22"/>
                <w:szCs w:val="22"/>
              </w:rPr>
              <w:t>收费依据</w:t>
            </w:r>
          </w:p>
        </w:tc>
      </w:tr>
      <w:tr w14:paraId="62240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4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F4CAE82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1</w:t>
            </w:r>
          </w:p>
        </w:tc>
        <w:tc>
          <w:tcPr>
            <w:tcW w:w="7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E5AA92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经营服务性收费</w:t>
            </w:r>
          </w:p>
        </w:tc>
        <w:tc>
          <w:tcPr>
            <w:tcW w:w="23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1D4326">
            <w:pPr>
              <w:widowControl/>
              <w:spacing w:after="0" w:line="240" w:lineRule="auto"/>
              <w:jc w:val="both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药学学术交流活动、药学教育培训活动、药学科研资助项目、药学知识普及和宣传推广活动、政府委托项目/政府购买服务、制定团体标准服务、提供其他服务等业务活动</w:t>
            </w:r>
          </w:p>
        </w:tc>
        <w:tc>
          <w:tcPr>
            <w:tcW w:w="12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A5FD5B">
            <w:pPr>
              <w:widowControl/>
              <w:spacing w:after="0" w:line="240" w:lineRule="auto"/>
              <w:jc w:val="both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国内外各类医疗机构、企业、非企业单位、社会组织、事业单位、国家机关及个人等</w:t>
            </w:r>
          </w:p>
        </w:tc>
        <w:tc>
          <w:tcPr>
            <w:tcW w:w="16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40CE05">
            <w:pPr>
              <w:widowControl/>
              <w:spacing w:after="0" w:line="240" w:lineRule="auto"/>
              <w:jc w:val="both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注册费、培训费、会议费、学术交流、资助/支持费、宣传推广、政府购买服务费、其他服务费</w:t>
            </w: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DDEAE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市场调节价、会议的邀请函、通知、合同、协议等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1200C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《广东省药学会章程》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（2025年12月18日广东省药学会第19次会员代表大会审议通过）</w:t>
            </w:r>
          </w:p>
        </w:tc>
      </w:tr>
      <w:tr w14:paraId="225D1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EAF4E8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7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E48C0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23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70E738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12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9EA873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16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C86D8C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1F8CCF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3E4EE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《社会团体法人登记证书》</w:t>
            </w:r>
          </w:p>
        </w:tc>
      </w:tr>
      <w:tr w14:paraId="1A461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5" w:hRule="atLeast"/>
        </w:trPr>
        <w:tc>
          <w:tcPr>
            <w:tcW w:w="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424CE8F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63D3E18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会费</w:t>
            </w:r>
          </w:p>
        </w:tc>
        <w:tc>
          <w:tcPr>
            <w:tcW w:w="2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0D9B79A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会员</w:t>
            </w:r>
            <w:bookmarkStart w:id="0" w:name="_GoBack"/>
            <w:bookmarkEnd w:id="0"/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会费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2FEB6D">
            <w:pPr>
              <w:widowControl/>
              <w:spacing w:after="0" w:line="240" w:lineRule="auto"/>
              <w:jc w:val="both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个人会员、单位会员（理事单位）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93C350">
            <w:pPr>
              <w:widowControl/>
              <w:spacing w:after="0" w:line="240" w:lineRule="auto"/>
              <w:jc w:val="both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个人会员会费、单位会员（理事单位）会费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4779D3">
            <w:pPr>
              <w:widowControl/>
              <w:spacing w:after="0" w:line="240" w:lineRule="auto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（一）个人会员：每人每年100元。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（二）单位会员（理事单位），根据企业规模及所属会员人数收取：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Arial"/>
                <w:kern w:val="0"/>
                <w:sz w:val="22"/>
                <w:szCs w:val="22"/>
                <w:lang w:val="en-US" w:eastAsia="zh-CN"/>
              </w:rPr>
              <w:t>.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小型企业单位：每年10000元；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2</w:t>
            </w:r>
            <w:r>
              <w:rPr>
                <w:rFonts w:hint="eastAsia" w:ascii="仿宋" w:hAnsi="仿宋" w:eastAsia="仿宋" w:cs="Arial"/>
                <w:kern w:val="0"/>
                <w:sz w:val="22"/>
                <w:szCs w:val="22"/>
                <w:lang w:val="en-US" w:eastAsia="zh-CN"/>
              </w:rPr>
              <w:t>.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中型企业单位：每年30000元；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3</w:t>
            </w:r>
            <w:r>
              <w:rPr>
                <w:rFonts w:hint="eastAsia" w:ascii="仿宋" w:hAnsi="仿宋" w:eastAsia="仿宋" w:cs="Arial"/>
                <w:kern w:val="0"/>
                <w:sz w:val="22"/>
                <w:szCs w:val="22"/>
                <w:lang w:val="en-US" w:eastAsia="zh-CN"/>
              </w:rPr>
              <w:t>.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大型企业单位：每年100000元。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（三）名誉职务免会费。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11D8F6C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Arial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《广东省药学会章程》</w:t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br w:type="textWrapping"/>
            </w:r>
            <w:r>
              <w:rPr>
                <w:rFonts w:ascii="仿宋" w:hAnsi="仿宋" w:eastAsia="仿宋" w:cs="Arial"/>
                <w:kern w:val="0"/>
                <w:sz w:val="22"/>
                <w:szCs w:val="22"/>
              </w:rPr>
              <w:t>（2025年12月18日广东省药学会第19次会员代表大会审议通过）</w:t>
            </w:r>
          </w:p>
        </w:tc>
      </w:tr>
    </w:tbl>
    <w:p w14:paraId="3E76A189">
      <w:pPr>
        <w:pStyle w:val="4"/>
        <w:numPr>
          <w:ilvl w:val="0"/>
          <w:numId w:val="0"/>
        </w:numPr>
        <w:spacing w:line="480" w:lineRule="exact"/>
        <w:ind w:leftChars="0"/>
        <w:rPr>
          <w:rFonts w:hint="eastAsia" w:ascii="仿宋" w:hAnsi="仿宋" w:eastAsia="仿宋"/>
          <w:b/>
          <w:bCs/>
          <w:sz w:val="28"/>
          <w:szCs w:val="28"/>
        </w:rPr>
      </w:pPr>
    </w:p>
    <w:p w14:paraId="7B4985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E5F4F"/>
    <w:rsid w:val="5F6E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2026-08-25T08:40:00Z</dcterms:created>
  <dc:creator>雨籽</dc:creator>
  <cp:lastModifiedBy>雨籽</cp:lastModifiedBy>
  <dcterms:modified xsi:type="dcterms:W3CDTF">2026-08-25T08:41:22Z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111D265D85B444ED9F7D1BDEFB741597_11</vt:lpwstr>
  </property>
  <property fmtid="{D5CDD505-2E9C-101B-9397-08002B2CF9AE}" pid="4" name="KSOTemplateDocerSaveRecord">
    <vt:lpwstr>eyJoZGlkIjoiNDg0ZjFmMmY2NWUzMDM5ZDY3MmI5MzA3MTg1YmJhYmYiLCJ1c2VySWQiOiIxMjMwMTQwNzQ5In0=</vt:lpwstr>
  </property>
</Properties>
</file>